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52E1" w14:textId="471C7EDD" w:rsidR="007B0642" w:rsidRPr="00FA0535" w:rsidRDefault="007B0642" w:rsidP="00EF7FF6">
      <w:pPr>
        <w:jc w:val="center"/>
        <w:rPr>
          <w:rFonts w:ascii="Dubai" w:hAnsi="Dubai" w:cs="Dubai"/>
          <w:color w:val="15335F"/>
          <w:sz w:val="36"/>
          <w:szCs w:val="36"/>
          <w:lang w:bidi="ar-SA"/>
        </w:rPr>
      </w:pPr>
      <w:r w:rsidRPr="00FA0535">
        <w:rPr>
          <w:rFonts w:ascii="Dubai" w:hAnsi="Dubai" w:cs="Dubai"/>
          <w:b/>
          <w:bCs/>
          <w:color w:val="15335F"/>
          <w:sz w:val="36"/>
          <w:szCs w:val="36"/>
        </w:rPr>
        <w:t xml:space="preserve">Emergencies, Crises and Disasters Management Centre Abu Dhabi </w:t>
      </w:r>
      <w:r w:rsidR="00C42EAD" w:rsidRPr="00FA0535">
        <w:rPr>
          <w:rFonts w:ascii="Dubai" w:hAnsi="Dubai" w:cs="Dubai"/>
          <w:b/>
          <w:bCs/>
          <w:color w:val="15335F"/>
          <w:sz w:val="36"/>
          <w:szCs w:val="36"/>
        </w:rPr>
        <w:t xml:space="preserve">Reschedules </w:t>
      </w:r>
      <w:r w:rsidRPr="00FA0535">
        <w:rPr>
          <w:rFonts w:ascii="Dubai" w:hAnsi="Dubai" w:cs="Dubai"/>
          <w:b/>
          <w:bCs/>
          <w:color w:val="15335F"/>
          <w:sz w:val="36"/>
          <w:szCs w:val="36"/>
        </w:rPr>
        <w:t>the Understanding Risk Global Forum</w:t>
      </w:r>
    </w:p>
    <w:p w14:paraId="625705CE" w14:textId="77777777" w:rsidR="007B0642" w:rsidRPr="00FA0535" w:rsidRDefault="007B0642" w:rsidP="007B0642">
      <w:pPr>
        <w:jc w:val="both"/>
        <w:rPr>
          <w:rFonts w:ascii="Dubai" w:hAnsi="Dubai" w:cs="Dubai"/>
          <w:color w:val="15335F"/>
          <w:sz w:val="24"/>
          <w:szCs w:val="24"/>
        </w:rPr>
      </w:pPr>
    </w:p>
    <w:p w14:paraId="3F8688C7" w14:textId="4BFAD2C8" w:rsidR="007B0642" w:rsidRPr="00FA0535" w:rsidRDefault="007B0642" w:rsidP="007B0642">
      <w:pPr>
        <w:jc w:val="both"/>
        <w:rPr>
          <w:rFonts w:ascii="Dubai" w:hAnsi="Dubai" w:cs="Dubai"/>
          <w:color w:val="15335F"/>
          <w:sz w:val="24"/>
          <w:szCs w:val="24"/>
        </w:rPr>
      </w:pPr>
      <w:r w:rsidRPr="00FA0535">
        <w:rPr>
          <w:rFonts w:ascii="Dubai" w:hAnsi="Dubai" w:cs="Dubai"/>
          <w:color w:val="15335F"/>
          <w:sz w:val="24"/>
          <w:szCs w:val="24"/>
        </w:rPr>
        <w:t xml:space="preserve">Abu Dhabi, UAE, </w:t>
      </w:r>
      <w:r w:rsidR="008F0079" w:rsidRPr="00FA0535">
        <w:rPr>
          <w:rFonts w:ascii="Dubai" w:hAnsi="Dubai" w:cs="Dubai"/>
          <w:color w:val="15335F"/>
          <w:sz w:val="24"/>
          <w:szCs w:val="24"/>
          <w:lang w:bidi="ar-AE"/>
        </w:rPr>
        <w:t>May</w:t>
      </w:r>
      <w:r w:rsidRPr="00FA0535">
        <w:rPr>
          <w:rFonts w:ascii="Dubai" w:hAnsi="Dubai" w:cs="Dubai"/>
          <w:color w:val="15335F"/>
          <w:sz w:val="24"/>
          <w:szCs w:val="24"/>
        </w:rPr>
        <w:t xml:space="preserve"> </w:t>
      </w:r>
      <w:r w:rsidR="00647BD4">
        <w:rPr>
          <w:rFonts w:ascii="Dubai" w:hAnsi="Dubai" w:cs="Dubai"/>
          <w:color w:val="15335F"/>
          <w:sz w:val="24"/>
          <w:szCs w:val="24"/>
        </w:rPr>
        <w:t>21</w:t>
      </w:r>
      <w:r w:rsidRPr="00FA0535">
        <w:rPr>
          <w:rFonts w:ascii="Dubai" w:hAnsi="Dubai" w:cs="Dubai"/>
          <w:color w:val="15335F"/>
          <w:sz w:val="24"/>
          <w:szCs w:val="24"/>
        </w:rPr>
        <w:t xml:space="preserve"> ,2026:</w:t>
      </w:r>
    </w:p>
    <w:p w14:paraId="273A0513" w14:textId="54233E9A" w:rsidR="007B0642" w:rsidRPr="00FA0535" w:rsidRDefault="007B0642" w:rsidP="00590453">
      <w:pPr>
        <w:jc w:val="both"/>
        <w:rPr>
          <w:rFonts w:ascii="Dubai" w:hAnsi="Dubai" w:cs="Dubai"/>
          <w:color w:val="15335F"/>
          <w:sz w:val="24"/>
          <w:szCs w:val="24"/>
        </w:rPr>
      </w:pPr>
      <w:r w:rsidRPr="00FA0535">
        <w:rPr>
          <w:rFonts w:ascii="Dubai" w:hAnsi="Dubai" w:cs="Dubai"/>
          <w:color w:val="15335F"/>
          <w:sz w:val="24"/>
          <w:szCs w:val="24"/>
        </w:rPr>
        <w:t xml:space="preserve">The Emergencies, Crises and Disasters Management Centre Abu Dhabi (ADCMC), in coordination with the Global Facility for Disaster Reduction and Recovery (GFDRR), part of the World Bank Group, has </w:t>
      </w:r>
      <w:r w:rsidR="00590453" w:rsidRPr="00FA0535">
        <w:rPr>
          <w:rFonts w:ascii="Dubai" w:hAnsi="Dubai" w:cs="Dubai"/>
          <w:color w:val="15335F"/>
          <w:sz w:val="24"/>
          <w:szCs w:val="24"/>
        </w:rPr>
        <w:t xml:space="preserve">rescheduled </w:t>
      </w:r>
      <w:r w:rsidRPr="00FA0535">
        <w:rPr>
          <w:rFonts w:ascii="Dubai" w:hAnsi="Dubai" w:cs="Dubai"/>
          <w:color w:val="15335F"/>
          <w:sz w:val="24"/>
          <w:szCs w:val="24"/>
        </w:rPr>
        <w:t xml:space="preserve">the ninth edition of the Understanding Risk Global Forum. </w:t>
      </w:r>
      <w:r w:rsidR="00590453" w:rsidRPr="00FA0535">
        <w:rPr>
          <w:rFonts w:ascii="Dubai" w:hAnsi="Dubai" w:cs="Dubai"/>
          <w:color w:val="15335F"/>
          <w:sz w:val="24"/>
          <w:szCs w:val="24"/>
        </w:rPr>
        <w:t xml:space="preserve">Originally set for October 2026, the event will now </w:t>
      </w:r>
      <w:r w:rsidR="00577853" w:rsidRPr="00FA0535">
        <w:rPr>
          <w:rFonts w:ascii="Dubai" w:hAnsi="Dubai" w:cs="Dubai"/>
          <w:color w:val="15335F"/>
          <w:sz w:val="24"/>
          <w:szCs w:val="24"/>
        </w:rPr>
        <w:t xml:space="preserve">take place </w:t>
      </w:r>
      <w:r w:rsidR="00590453" w:rsidRPr="00FA0535">
        <w:rPr>
          <w:rFonts w:ascii="Dubai" w:hAnsi="Dubai" w:cs="Dubai"/>
          <w:color w:val="15335F"/>
          <w:sz w:val="24"/>
          <w:szCs w:val="24"/>
        </w:rPr>
        <w:t>from 10 to 14 May 2027</w:t>
      </w:r>
      <w:r w:rsidR="008F0079" w:rsidRPr="00FA0535">
        <w:rPr>
          <w:rFonts w:ascii="Dubai" w:hAnsi="Dubai" w:cs="Dubai"/>
          <w:color w:val="15335F"/>
          <w:sz w:val="24"/>
          <w:szCs w:val="24"/>
        </w:rPr>
        <w:t xml:space="preserve"> </w:t>
      </w:r>
      <w:r w:rsidR="00F831B3" w:rsidRPr="00FA0535">
        <w:rPr>
          <w:rFonts w:ascii="Dubai" w:hAnsi="Dubai" w:cs="Dubai"/>
          <w:color w:val="15335F"/>
          <w:sz w:val="24"/>
          <w:szCs w:val="24"/>
        </w:rPr>
        <w:t>in Abu Dhabi</w:t>
      </w:r>
      <w:r w:rsidRPr="00FA0535">
        <w:rPr>
          <w:rFonts w:ascii="Dubai" w:hAnsi="Dubai" w:cs="Dubai"/>
          <w:color w:val="15335F"/>
          <w:sz w:val="24"/>
          <w:szCs w:val="24"/>
        </w:rPr>
        <w:t>, reflecting a proactive, risk-informed approach aligned with the highest international standards.</w:t>
      </w:r>
    </w:p>
    <w:p w14:paraId="77E16804" w14:textId="1FE8B57A" w:rsidR="007B0642" w:rsidRPr="00FA0535" w:rsidRDefault="008F0079" w:rsidP="007B0642">
      <w:pPr>
        <w:jc w:val="both"/>
        <w:rPr>
          <w:rFonts w:ascii="Dubai" w:hAnsi="Dubai" w:cs="Dubai"/>
          <w:color w:val="15335F"/>
          <w:sz w:val="24"/>
          <w:szCs w:val="24"/>
          <w:lang w:bidi="ar-AE"/>
        </w:rPr>
      </w:pPr>
      <w:r w:rsidRPr="00FA0535">
        <w:rPr>
          <w:rFonts w:ascii="Dubai" w:hAnsi="Dubai" w:cs="Dubai"/>
          <w:color w:val="15335F"/>
          <w:sz w:val="24"/>
          <w:szCs w:val="24"/>
        </w:rPr>
        <w:t xml:space="preserve">The decision seeks to deliver an exceptional edition </w:t>
      </w:r>
      <w:r w:rsidR="007B0642" w:rsidRPr="00FA0535">
        <w:rPr>
          <w:rFonts w:ascii="Dubai" w:hAnsi="Dubai" w:cs="Dubai"/>
          <w:color w:val="15335F"/>
          <w:sz w:val="24"/>
          <w:szCs w:val="24"/>
        </w:rPr>
        <w:t>appropriate to the stature of the forum, which will be hosted in the Middle East for the first time as a leading global platform bringing together an eminent group of decision-makers and experts.</w:t>
      </w:r>
    </w:p>
    <w:p w14:paraId="4DBB0849" w14:textId="74494E26" w:rsidR="007B0642" w:rsidRPr="00FA0535" w:rsidRDefault="007B0642" w:rsidP="007B0642">
      <w:pPr>
        <w:jc w:val="both"/>
        <w:rPr>
          <w:rFonts w:ascii="Dubai" w:hAnsi="Dubai" w:cs="Dubai"/>
          <w:color w:val="15335F"/>
          <w:sz w:val="24"/>
          <w:szCs w:val="24"/>
          <w:rtl/>
          <w:lang w:bidi="ar-AE"/>
        </w:rPr>
      </w:pPr>
      <w:r w:rsidRPr="00FA0535">
        <w:rPr>
          <w:rFonts w:ascii="Dubai" w:hAnsi="Dubai" w:cs="Dubai"/>
          <w:color w:val="15335F"/>
          <w:sz w:val="24"/>
          <w:szCs w:val="24"/>
        </w:rPr>
        <w:t xml:space="preserve">The Understanding Risk Global </w:t>
      </w:r>
      <w:r w:rsidR="008F0079" w:rsidRPr="00FA0535">
        <w:rPr>
          <w:rFonts w:ascii="Dubai" w:hAnsi="Dubai" w:cs="Dubai"/>
          <w:color w:val="15335F"/>
          <w:sz w:val="24"/>
          <w:szCs w:val="24"/>
        </w:rPr>
        <w:t>Forum is</w:t>
      </w:r>
      <w:r w:rsidRPr="00FA0535">
        <w:rPr>
          <w:rFonts w:ascii="Dubai" w:hAnsi="Dubai" w:cs="Dubai"/>
          <w:color w:val="15335F"/>
          <w:sz w:val="24"/>
          <w:szCs w:val="24"/>
        </w:rPr>
        <w:t xml:space="preserve"> a leading international platform that brings together more than 1,500 decision-makers, experts, and researchers from around the world to examine strategies for understanding evolving risks and strengthening societal and institutional resilience through innovative solutions and cross-border collaboration. The Forum, to be held on its rescheduled dates, will take place at the Abu Dhabi National Exhibition Centre (ADNEC). Its programme will include dialogue sessions and interactive workshops.</w:t>
      </w:r>
    </w:p>
    <w:p w14:paraId="616888F2" w14:textId="77777777" w:rsidR="008F0079" w:rsidRPr="00FA0535" w:rsidRDefault="008F0079" w:rsidP="007B0642">
      <w:pPr>
        <w:jc w:val="both"/>
        <w:rPr>
          <w:rFonts w:ascii="Dubai" w:hAnsi="Dubai" w:cs="Dubai"/>
          <w:color w:val="15335F"/>
          <w:sz w:val="24"/>
          <w:szCs w:val="24"/>
          <w:lang w:bidi="ar-AE"/>
        </w:rPr>
      </w:pPr>
    </w:p>
    <w:p w14:paraId="1B39C086" w14:textId="77777777" w:rsidR="007B0642" w:rsidRPr="00FA0535" w:rsidRDefault="007B0642" w:rsidP="007B0642">
      <w:pPr>
        <w:jc w:val="center"/>
        <w:rPr>
          <w:rFonts w:ascii="Dubai" w:hAnsi="Dubai" w:cs="Dubai"/>
          <w:color w:val="15335F"/>
          <w:sz w:val="24"/>
          <w:szCs w:val="24"/>
          <w:rtl/>
        </w:rPr>
      </w:pPr>
      <w:r w:rsidRPr="00FA0535">
        <w:rPr>
          <w:rFonts w:ascii="Dubai" w:hAnsi="Dubai" w:cs="Dubai"/>
          <w:color w:val="15335F"/>
          <w:sz w:val="24"/>
          <w:szCs w:val="24"/>
        </w:rPr>
        <w:t>-</w:t>
      </w:r>
      <w:r w:rsidRPr="00FA0535">
        <w:rPr>
          <w:rFonts w:ascii="Dubai" w:hAnsi="Dubai" w:cs="Dubai"/>
          <w:b/>
          <w:bCs/>
          <w:color w:val="15335F"/>
          <w:sz w:val="24"/>
          <w:szCs w:val="24"/>
        </w:rPr>
        <w:t>END</w:t>
      </w:r>
      <w:r w:rsidRPr="00FA0535">
        <w:rPr>
          <w:rFonts w:ascii="Dubai" w:hAnsi="Dubai" w:cs="Dubai"/>
          <w:color w:val="15335F"/>
          <w:sz w:val="24"/>
          <w:szCs w:val="24"/>
        </w:rPr>
        <w:t>-</w:t>
      </w:r>
    </w:p>
    <w:p w14:paraId="4EA7EDD9" w14:textId="77777777" w:rsidR="007D4B15" w:rsidRPr="00FA0535" w:rsidRDefault="007D4B15" w:rsidP="006F5F6D">
      <w:pPr>
        <w:jc w:val="both"/>
        <w:rPr>
          <w:rFonts w:ascii="Dubai" w:hAnsi="Dubai" w:cs="Dubai"/>
          <w:color w:val="15335F"/>
          <w:sz w:val="22"/>
          <w:szCs w:val="22"/>
        </w:rPr>
      </w:pPr>
    </w:p>
    <w:p w14:paraId="6F152FA2" w14:textId="77777777" w:rsidR="00577853" w:rsidRPr="00FA0535" w:rsidRDefault="00577853" w:rsidP="006F5F6D">
      <w:pPr>
        <w:jc w:val="both"/>
        <w:rPr>
          <w:rFonts w:ascii="Dubai" w:hAnsi="Dubai" w:cs="Dubai"/>
          <w:color w:val="15335F"/>
          <w:sz w:val="22"/>
          <w:szCs w:val="22"/>
          <w:lang w:bidi="ar-AE"/>
        </w:rPr>
      </w:pPr>
    </w:p>
    <w:p w14:paraId="4661BA9A" w14:textId="77777777" w:rsidR="007D4B15" w:rsidRPr="00FA0535" w:rsidRDefault="007D4B15" w:rsidP="007D4B15">
      <w:pPr>
        <w:numPr>
          <w:ilvl w:val="0"/>
          <w:numId w:val="1"/>
        </w:numPr>
        <w:tabs>
          <w:tab w:val="left" w:pos="5769"/>
        </w:tabs>
        <w:spacing w:after="0" w:line="360" w:lineRule="auto"/>
        <w:rPr>
          <w:rFonts w:ascii="Dubai" w:hAnsi="Dubai" w:cs="Dubai"/>
          <w:b/>
          <w:bCs/>
          <w:color w:val="15335F"/>
          <w:sz w:val="22"/>
          <w:szCs w:val="22"/>
          <w:lang w:val="en-GB" w:bidi="ar-AE"/>
        </w:rPr>
      </w:pPr>
      <w:r w:rsidRPr="00FA0535">
        <w:rPr>
          <w:rFonts w:ascii="Dubai" w:hAnsi="Dubai" w:cs="Dubai"/>
          <w:b/>
          <w:bCs/>
          <w:color w:val="15335F"/>
          <w:sz w:val="22"/>
          <w:szCs w:val="22"/>
          <w:lang w:val="en-GB" w:bidi="ar-AE"/>
        </w:rPr>
        <w:lastRenderedPageBreak/>
        <w:t>About ADCMC:</w:t>
      </w:r>
    </w:p>
    <w:p w14:paraId="2E408B06" w14:textId="77777777" w:rsidR="007D4B15" w:rsidRPr="00FA0535" w:rsidRDefault="007D4B15" w:rsidP="007D4B15">
      <w:pPr>
        <w:tabs>
          <w:tab w:val="left" w:pos="5769"/>
        </w:tabs>
        <w:spacing w:after="0" w:line="360" w:lineRule="auto"/>
        <w:rPr>
          <w:rFonts w:ascii="Dubai" w:hAnsi="Dubai" w:cs="Dubai"/>
          <w:color w:val="15335F"/>
          <w:sz w:val="22"/>
          <w:szCs w:val="22"/>
          <w:lang w:val="en-GB" w:bidi="ar-AE"/>
        </w:rPr>
      </w:pPr>
      <w:r w:rsidRPr="00FA0535">
        <w:rPr>
          <w:rFonts w:ascii="Dubai" w:hAnsi="Dubai" w:cs="Dubai"/>
          <w:color w:val="15335F"/>
          <w:sz w:val="22"/>
          <w:szCs w:val="22"/>
          <w:lang w:val="en-GB" w:bidi="ar-AE"/>
        </w:rPr>
        <w:t xml:space="preserve">The Emergencies, Crises and Disasters Management Centre Abu Dhabi (ADCMC), established under Law No. 22 of 2019, issued by the late Sheikh Khalifa bin Zayed Al Nahyan, aims to significantly boost the Emirate’s preparedness for emergencies, crises and disasters. </w:t>
      </w:r>
    </w:p>
    <w:p w14:paraId="7D22404A" w14:textId="77777777" w:rsidR="007D4B15" w:rsidRPr="00FA0535" w:rsidRDefault="007D4B15" w:rsidP="007D4B15">
      <w:pPr>
        <w:tabs>
          <w:tab w:val="left" w:pos="5769"/>
        </w:tabs>
        <w:spacing w:after="0" w:line="360" w:lineRule="auto"/>
        <w:rPr>
          <w:rFonts w:ascii="Dubai" w:hAnsi="Dubai" w:cs="Dubai"/>
          <w:color w:val="15335F"/>
          <w:sz w:val="22"/>
          <w:szCs w:val="22"/>
          <w:lang w:val="en-GB" w:bidi="ar-AE"/>
        </w:rPr>
      </w:pPr>
      <w:r w:rsidRPr="00FA0535">
        <w:rPr>
          <w:rFonts w:ascii="Dubai" w:hAnsi="Dubai" w:cs="Dubai"/>
          <w:color w:val="15335F"/>
          <w:sz w:val="22"/>
          <w:szCs w:val="22"/>
          <w:lang w:val="en-GB" w:bidi="ar-AE"/>
        </w:rPr>
        <w:t>The Centre has devised plans, strategies and policies for disaster, emergency and crises management. It carries out studies, field trips, audits and evaluations to ensure that organisations are prepared to face challenges and recover immediately. The Centre further focusses on improving coordination and knowledge exchange with relevant authorities and stakeholders. The key objective is to improve Abu Dhabi’s capabilities to effectively handle crises and emergencies.</w:t>
      </w:r>
    </w:p>
    <w:p w14:paraId="2609524B" w14:textId="2D758463" w:rsidR="007D4B15" w:rsidRPr="00FA0535" w:rsidRDefault="007D4B15" w:rsidP="00FA0535">
      <w:pPr>
        <w:pStyle w:val="ListParagraph"/>
        <w:numPr>
          <w:ilvl w:val="0"/>
          <w:numId w:val="4"/>
        </w:numPr>
        <w:tabs>
          <w:tab w:val="left" w:pos="5769"/>
        </w:tabs>
        <w:spacing w:after="0" w:line="360" w:lineRule="auto"/>
        <w:ind w:left="360"/>
        <w:rPr>
          <w:rFonts w:ascii="Dubai" w:hAnsi="Dubai" w:cs="Dubai"/>
          <w:b/>
          <w:bCs/>
          <w:color w:val="15335F"/>
          <w:sz w:val="22"/>
          <w:szCs w:val="22"/>
          <w:rtl/>
          <w:lang w:bidi="ar-AE"/>
        </w:rPr>
      </w:pPr>
      <w:r w:rsidRPr="00FA0535">
        <w:rPr>
          <w:rFonts w:ascii="Dubai" w:hAnsi="Dubai" w:cs="Dubai"/>
          <w:b/>
          <w:bCs/>
          <w:color w:val="15335F"/>
          <w:sz w:val="22"/>
          <w:szCs w:val="22"/>
          <w:lang w:bidi="ar-AE"/>
        </w:rPr>
        <w:t>Vision:</w:t>
      </w:r>
    </w:p>
    <w:p w14:paraId="4EA6C104" w14:textId="77777777" w:rsidR="007D4B15" w:rsidRPr="00FA0535" w:rsidRDefault="007D4B15" w:rsidP="007D4B15">
      <w:pPr>
        <w:tabs>
          <w:tab w:val="left" w:pos="5769"/>
        </w:tabs>
        <w:spacing w:after="0" w:line="360" w:lineRule="auto"/>
        <w:rPr>
          <w:rFonts w:ascii="Dubai" w:hAnsi="Dubai" w:cs="Dubai"/>
          <w:color w:val="15335F"/>
          <w:sz w:val="22"/>
          <w:szCs w:val="22"/>
          <w:lang w:bidi="ar-AE"/>
        </w:rPr>
      </w:pPr>
      <w:r w:rsidRPr="00FA0535">
        <w:rPr>
          <w:rFonts w:ascii="Dubai" w:hAnsi="Dubai" w:cs="Dubai"/>
          <w:color w:val="15335F"/>
          <w:sz w:val="22"/>
          <w:szCs w:val="22"/>
          <w:lang w:val="en-AE" w:bidi="ar-AE"/>
        </w:rPr>
        <w:t>Reinforcing crisis readiness</w:t>
      </w:r>
      <w:r w:rsidRPr="00FA0535">
        <w:rPr>
          <w:rFonts w:ascii="Dubai" w:hAnsi="Dubai" w:cs="Dubai"/>
          <w:color w:val="15335F"/>
          <w:sz w:val="22"/>
          <w:szCs w:val="22"/>
          <w:lang w:bidi="ar-AE"/>
        </w:rPr>
        <w:t>.</w:t>
      </w:r>
    </w:p>
    <w:p w14:paraId="6E479203" w14:textId="523B445D" w:rsidR="007D4B15" w:rsidRPr="00FA0535" w:rsidRDefault="007D4B15" w:rsidP="00FA0535">
      <w:pPr>
        <w:pStyle w:val="ListParagraph"/>
        <w:numPr>
          <w:ilvl w:val="0"/>
          <w:numId w:val="4"/>
        </w:numPr>
        <w:tabs>
          <w:tab w:val="left" w:pos="5769"/>
        </w:tabs>
        <w:spacing w:after="0" w:line="360" w:lineRule="auto"/>
        <w:ind w:left="360"/>
        <w:rPr>
          <w:rFonts w:ascii="Dubai" w:hAnsi="Dubai" w:cs="Dubai"/>
          <w:b/>
          <w:bCs/>
          <w:color w:val="15335F"/>
          <w:sz w:val="22"/>
          <w:szCs w:val="22"/>
          <w:lang w:bidi="ar-AE"/>
        </w:rPr>
      </w:pPr>
      <w:r w:rsidRPr="00FA0535">
        <w:rPr>
          <w:rFonts w:ascii="Dubai" w:hAnsi="Dubai" w:cs="Dubai"/>
          <w:b/>
          <w:bCs/>
          <w:color w:val="15335F"/>
          <w:sz w:val="22"/>
          <w:szCs w:val="22"/>
          <w:lang w:bidi="ar-AE"/>
        </w:rPr>
        <w:t>Mission:</w:t>
      </w:r>
    </w:p>
    <w:p w14:paraId="4AB97BF1" w14:textId="77777777" w:rsidR="007D4B15" w:rsidRPr="00FA0535" w:rsidRDefault="007D4B15" w:rsidP="007D4B15">
      <w:pPr>
        <w:tabs>
          <w:tab w:val="left" w:pos="5769"/>
        </w:tabs>
        <w:spacing w:after="0" w:line="360" w:lineRule="auto"/>
        <w:rPr>
          <w:rFonts w:ascii="Dubai" w:hAnsi="Dubai" w:cs="Dubai"/>
          <w:color w:val="15335F"/>
          <w:sz w:val="22"/>
          <w:szCs w:val="22"/>
          <w:lang w:bidi="ar-AE"/>
        </w:rPr>
      </w:pPr>
      <w:r w:rsidRPr="00FA0535">
        <w:rPr>
          <w:rFonts w:ascii="Dubai" w:hAnsi="Dubai" w:cs="Dubai"/>
          <w:color w:val="15335F"/>
          <w:sz w:val="22"/>
          <w:szCs w:val="22"/>
          <w:lang w:bidi="ar-AE"/>
        </w:rPr>
        <w:t>We Strive to develop Abu Dhabi’s emergencies and crises management ecosystem through joint coordination to build and develop capabilities and leveraging leading technologies.</w:t>
      </w:r>
    </w:p>
    <w:p w14:paraId="48D4BA52" w14:textId="5196B117" w:rsidR="007D4B15" w:rsidRPr="00FA0535" w:rsidRDefault="007D4B15" w:rsidP="00FA0535">
      <w:pPr>
        <w:pStyle w:val="ListParagraph"/>
        <w:numPr>
          <w:ilvl w:val="0"/>
          <w:numId w:val="4"/>
        </w:numPr>
        <w:tabs>
          <w:tab w:val="left" w:pos="5769"/>
        </w:tabs>
        <w:spacing w:after="0" w:line="360" w:lineRule="auto"/>
        <w:ind w:left="360"/>
        <w:rPr>
          <w:rFonts w:ascii="Dubai" w:hAnsi="Dubai" w:cs="Dubai"/>
          <w:b/>
          <w:bCs/>
          <w:color w:val="15335F"/>
          <w:sz w:val="22"/>
          <w:szCs w:val="22"/>
          <w:lang w:bidi="ar-AE"/>
        </w:rPr>
      </w:pPr>
      <w:r w:rsidRPr="00FA0535">
        <w:rPr>
          <w:rFonts w:ascii="Dubai" w:hAnsi="Dubai" w:cs="Dubai"/>
          <w:b/>
          <w:bCs/>
          <w:color w:val="15335F"/>
          <w:sz w:val="22"/>
          <w:szCs w:val="22"/>
          <w:lang w:bidi="ar-AE"/>
        </w:rPr>
        <w:t>Strategic Priorities:</w:t>
      </w:r>
    </w:p>
    <w:p w14:paraId="23FCB99A" w14:textId="77777777" w:rsidR="007D4B15" w:rsidRPr="00FA0535" w:rsidRDefault="007D4B15" w:rsidP="00FA0535">
      <w:pPr>
        <w:numPr>
          <w:ilvl w:val="0"/>
          <w:numId w:val="5"/>
        </w:numPr>
        <w:tabs>
          <w:tab w:val="left" w:pos="5769"/>
        </w:tabs>
        <w:spacing w:after="0" w:line="360" w:lineRule="auto"/>
        <w:rPr>
          <w:rFonts w:ascii="Dubai" w:hAnsi="Dubai" w:cs="Dubai"/>
          <w:color w:val="15335F"/>
          <w:sz w:val="22"/>
          <w:szCs w:val="22"/>
          <w:lang w:bidi="ar-AE"/>
        </w:rPr>
      </w:pPr>
      <w:r w:rsidRPr="00FA0535">
        <w:rPr>
          <w:rFonts w:ascii="Dubai" w:hAnsi="Dubai" w:cs="Dubai"/>
          <w:color w:val="15335F"/>
          <w:sz w:val="22"/>
          <w:szCs w:val="22"/>
          <w:lang w:bidi="ar-AE"/>
        </w:rPr>
        <w:t>Ensured readiness of Emirate of Abu Dhabi in emergencies and crises</w:t>
      </w:r>
    </w:p>
    <w:p w14:paraId="31690C4F" w14:textId="77777777" w:rsidR="007D4B15" w:rsidRPr="00FA0535" w:rsidRDefault="007D4B15" w:rsidP="00FA0535">
      <w:pPr>
        <w:numPr>
          <w:ilvl w:val="0"/>
          <w:numId w:val="5"/>
        </w:numPr>
        <w:tabs>
          <w:tab w:val="left" w:pos="5769"/>
        </w:tabs>
        <w:spacing w:after="0" w:line="360" w:lineRule="auto"/>
        <w:rPr>
          <w:rFonts w:ascii="Dubai" w:hAnsi="Dubai" w:cs="Dubai"/>
          <w:color w:val="15335F"/>
          <w:sz w:val="22"/>
          <w:szCs w:val="22"/>
          <w:lang w:bidi="ar-AE"/>
        </w:rPr>
      </w:pPr>
      <w:r w:rsidRPr="00FA0535">
        <w:rPr>
          <w:rFonts w:ascii="Dubai" w:hAnsi="Dubai" w:cs="Dubai"/>
          <w:color w:val="15335F"/>
          <w:sz w:val="22"/>
          <w:szCs w:val="22"/>
          <w:lang w:bidi="ar-AE"/>
        </w:rPr>
        <w:t>Strong stakeholders’ coordination and raising awareness</w:t>
      </w:r>
    </w:p>
    <w:p w14:paraId="2609F17E" w14:textId="77777777" w:rsidR="007D4B15" w:rsidRPr="00FA0535" w:rsidRDefault="007D4B15" w:rsidP="00FA0535">
      <w:pPr>
        <w:numPr>
          <w:ilvl w:val="0"/>
          <w:numId w:val="5"/>
        </w:numPr>
        <w:tabs>
          <w:tab w:val="left" w:pos="5769"/>
        </w:tabs>
        <w:spacing w:after="0" w:line="360" w:lineRule="auto"/>
        <w:rPr>
          <w:rFonts w:ascii="Dubai" w:hAnsi="Dubai" w:cs="Dubai"/>
          <w:color w:val="15335F"/>
          <w:sz w:val="22"/>
          <w:szCs w:val="22"/>
          <w:lang w:bidi="ar-AE"/>
        </w:rPr>
      </w:pPr>
      <w:r w:rsidRPr="00FA0535">
        <w:rPr>
          <w:rFonts w:ascii="Dubai" w:hAnsi="Dubai" w:cs="Dubai"/>
          <w:color w:val="15335F"/>
          <w:sz w:val="22"/>
          <w:szCs w:val="22"/>
          <w:lang w:bidi="ar-AE"/>
        </w:rPr>
        <w:t>Elevated ADCMC internal capabilities</w:t>
      </w:r>
    </w:p>
    <w:p w14:paraId="66822A7D" w14:textId="469C6B51" w:rsidR="007D4B15" w:rsidRPr="00FA0535" w:rsidRDefault="007D4B15" w:rsidP="00FA0535">
      <w:pPr>
        <w:pStyle w:val="ListParagraph"/>
        <w:numPr>
          <w:ilvl w:val="0"/>
          <w:numId w:val="4"/>
        </w:numPr>
        <w:tabs>
          <w:tab w:val="left" w:pos="5769"/>
        </w:tabs>
        <w:spacing w:after="0" w:line="360" w:lineRule="auto"/>
        <w:ind w:left="360"/>
        <w:rPr>
          <w:rFonts w:ascii="Dubai" w:hAnsi="Dubai" w:cs="Dubai"/>
          <w:b/>
          <w:bCs/>
          <w:color w:val="15335F"/>
          <w:sz w:val="22"/>
          <w:szCs w:val="22"/>
          <w:lang w:bidi="ar-AE"/>
        </w:rPr>
      </w:pPr>
      <w:r w:rsidRPr="00FA0535">
        <w:rPr>
          <w:rFonts w:ascii="Dubai" w:hAnsi="Dubai" w:cs="Dubai"/>
          <w:b/>
          <w:bCs/>
          <w:color w:val="15335F"/>
          <w:sz w:val="22"/>
          <w:szCs w:val="22"/>
          <w:lang w:bidi="ar-AE"/>
        </w:rPr>
        <w:t>Contact us:</w:t>
      </w:r>
    </w:p>
    <w:p w14:paraId="2AA4F4B3" w14:textId="77777777" w:rsidR="007D4B15" w:rsidRPr="00FA0535" w:rsidRDefault="007D4B15" w:rsidP="00FA0535">
      <w:pPr>
        <w:numPr>
          <w:ilvl w:val="0"/>
          <w:numId w:val="6"/>
        </w:numPr>
        <w:tabs>
          <w:tab w:val="left" w:pos="5769"/>
        </w:tabs>
        <w:spacing w:after="0" w:line="360" w:lineRule="auto"/>
        <w:rPr>
          <w:rFonts w:ascii="Dubai" w:hAnsi="Dubai" w:cs="Dubai"/>
          <w:color w:val="15335F"/>
          <w:sz w:val="22"/>
          <w:szCs w:val="22"/>
          <w:lang w:bidi="ar-AE"/>
        </w:rPr>
      </w:pPr>
      <w:r w:rsidRPr="00FA0535">
        <w:rPr>
          <w:rFonts w:ascii="Dubai" w:hAnsi="Dubai" w:cs="Dubai"/>
          <w:color w:val="15335F"/>
          <w:sz w:val="22"/>
          <w:szCs w:val="22"/>
          <w:lang w:bidi="ar-AE"/>
        </w:rPr>
        <w:t>For media inquiries:  Coordination &amp; Governmental Relations Section grc@adcmc.gov.ae</w:t>
      </w:r>
    </w:p>
    <w:p w14:paraId="154C311A" w14:textId="77777777" w:rsidR="007D4B15" w:rsidRPr="00FA0535" w:rsidRDefault="007D4B15" w:rsidP="00FA0535">
      <w:pPr>
        <w:numPr>
          <w:ilvl w:val="0"/>
          <w:numId w:val="6"/>
        </w:numPr>
        <w:tabs>
          <w:tab w:val="left" w:pos="5769"/>
        </w:tabs>
        <w:spacing w:after="0" w:line="360" w:lineRule="auto"/>
        <w:rPr>
          <w:rFonts w:ascii="Dubai" w:hAnsi="Dubai" w:cs="Dubai"/>
          <w:color w:val="15335F"/>
          <w:sz w:val="22"/>
          <w:szCs w:val="22"/>
          <w:lang w:bidi="ar-AE"/>
        </w:rPr>
      </w:pPr>
      <w:r w:rsidRPr="00FA0535">
        <w:rPr>
          <w:rFonts w:ascii="Dubai" w:hAnsi="Dubai" w:cs="Dubai"/>
          <w:color w:val="15335F"/>
          <w:sz w:val="22"/>
          <w:szCs w:val="22"/>
          <w:lang w:bidi="ar-AE"/>
        </w:rPr>
        <w:t xml:space="preserve">For Public inquiries: </w:t>
      </w:r>
      <w:hyperlink r:id="rId8" w:history="1">
        <w:r w:rsidRPr="00FA0535">
          <w:rPr>
            <w:rStyle w:val="Hyperlink"/>
            <w:rFonts w:ascii="Dubai" w:hAnsi="Dubai" w:cs="Dubai"/>
            <w:color w:val="15335F"/>
            <w:sz w:val="22"/>
            <w:szCs w:val="22"/>
          </w:rPr>
          <w:t>info@adcmc.gov.ae</w:t>
        </w:r>
      </w:hyperlink>
    </w:p>
    <w:p w14:paraId="27045D28" w14:textId="77777777" w:rsidR="007D4B15" w:rsidRDefault="007D4B15" w:rsidP="007D4B15">
      <w:pPr>
        <w:tabs>
          <w:tab w:val="left" w:pos="5769"/>
        </w:tabs>
        <w:spacing w:after="0" w:line="360" w:lineRule="auto"/>
        <w:rPr>
          <w:rFonts w:ascii="Dubai" w:hAnsi="Dubai" w:cs="Dubai"/>
          <w:color w:val="15335F"/>
          <w:sz w:val="22"/>
          <w:szCs w:val="22"/>
          <w:lang w:val="en-AE" w:bidi="ar-AE"/>
        </w:rPr>
      </w:pPr>
    </w:p>
    <w:p w14:paraId="6E3AA9C8" w14:textId="77777777" w:rsidR="00FA0535" w:rsidRPr="00FA0535" w:rsidRDefault="00FA0535" w:rsidP="007D4B15">
      <w:pPr>
        <w:tabs>
          <w:tab w:val="left" w:pos="5769"/>
        </w:tabs>
        <w:spacing w:after="0" w:line="360" w:lineRule="auto"/>
        <w:rPr>
          <w:rFonts w:ascii="Dubai" w:hAnsi="Dubai" w:cs="Dubai"/>
          <w:color w:val="15335F"/>
          <w:sz w:val="22"/>
          <w:szCs w:val="22"/>
          <w:lang w:val="en-AE" w:bidi="ar-AE"/>
        </w:rPr>
      </w:pPr>
    </w:p>
    <w:p w14:paraId="536D2839" w14:textId="77777777" w:rsidR="00FA0535" w:rsidRPr="00FA0535" w:rsidRDefault="00FA0535" w:rsidP="00FA0535">
      <w:pPr>
        <w:pStyle w:val="ListParagraph"/>
        <w:numPr>
          <w:ilvl w:val="0"/>
          <w:numId w:val="7"/>
        </w:numPr>
        <w:ind w:left="360"/>
        <w:jc w:val="both"/>
        <w:rPr>
          <w:rFonts w:ascii="Dubai" w:hAnsi="Dubai" w:cs="Dubai"/>
          <w:b/>
          <w:bCs/>
          <w:color w:val="15335F"/>
          <w:sz w:val="22"/>
          <w:szCs w:val="22"/>
        </w:rPr>
      </w:pPr>
      <w:r w:rsidRPr="00FA0535">
        <w:rPr>
          <w:rFonts w:ascii="Dubai" w:hAnsi="Dubai" w:cs="Dubai"/>
          <w:b/>
          <w:bCs/>
          <w:color w:val="15335F"/>
          <w:sz w:val="22"/>
          <w:szCs w:val="22"/>
        </w:rPr>
        <w:lastRenderedPageBreak/>
        <w:t>About the Global Facility for Disaster Reduction &amp; Recovery (GFDRR):</w:t>
      </w:r>
    </w:p>
    <w:p w14:paraId="0D0EF8D7" w14:textId="77777777" w:rsidR="00FA0535" w:rsidRPr="00FA0535" w:rsidRDefault="00FA0535" w:rsidP="00FA0535">
      <w:pPr>
        <w:jc w:val="both"/>
        <w:rPr>
          <w:rFonts w:ascii="Dubai" w:hAnsi="Dubai" w:cs="Dubai"/>
          <w:color w:val="15335F"/>
          <w:sz w:val="22"/>
          <w:szCs w:val="22"/>
        </w:rPr>
      </w:pPr>
      <w:r w:rsidRPr="00FA0535">
        <w:rPr>
          <w:rFonts w:ascii="Dubai" w:hAnsi="Dubai" w:cs="Dubai"/>
          <w:color w:val="15335F"/>
          <w:sz w:val="22"/>
          <w:szCs w:val="22"/>
        </w:rPr>
        <w:t xml:space="preserve">The Global Facility for Disaster Reduction and Recovery (GFDRR) is a global partnership that helps low- and lower-middle-income countries better understand and reduce their vulnerabilities to natural hazards and adapt to climate change. GFDRR provides grant financing, technical assistance, training, and knowledge sharing activities to mainstream disaster and climate risk management in national and regional policies, strategies, and investment plans. The Program Management Unit, located within the World Bank, manages grant resources to carry out GFDRR’s mission. </w:t>
      </w:r>
    </w:p>
    <w:p w14:paraId="16153367" w14:textId="630EA169" w:rsidR="007D4B15" w:rsidRPr="00FA0535" w:rsidRDefault="007D4B15" w:rsidP="00FA0535">
      <w:pPr>
        <w:jc w:val="both"/>
        <w:rPr>
          <w:rFonts w:ascii="Dubai" w:hAnsi="Dubai" w:cs="Dubai"/>
          <w:b/>
          <w:bCs/>
          <w:color w:val="15335F"/>
          <w:sz w:val="22"/>
          <w:szCs w:val="22"/>
          <w:lang w:bidi="ar-AE"/>
        </w:rPr>
      </w:pPr>
    </w:p>
    <w:sectPr w:rsidR="007D4B15" w:rsidRPr="00FA0535" w:rsidSect="005E4FD3">
      <w:headerReference w:type="default" r:id="rId9"/>
      <w:footerReference w:type="even" r:id="rId10"/>
      <w:footerReference w:type="default" r:id="rId11"/>
      <w:footerReference w:type="first" r:id="rId12"/>
      <w:pgSz w:w="11900" w:h="16840"/>
      <w:pgMar w:top="1985" w:right="1077" w:bottom="198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50CC" w14:textId="77777777" w:rsidR="00CC208B" w:rsidRDefault="00CC208B" w:rsidP="006F5F6D">
      <w:pPr>
        <w:spacing w:after="0" w:line="240" w:lineRule="auto"/>
      </w:pPr>
      <w:r>
        <w:separator/>
      </w:r>
    </w:p>
  </w:endnote>
  <w:endnote w:type="continuationSeparator" w:id="0">
    <w:p w14:paraId="02659B1E" w14:textId="77777777" w:rsidR="00CC208B" w:rsidRDefault="00CC208B" w:rsidP="006F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4CCD" w14:textId="32B096AF" w:rsidR="007B0642" w:rsidRDefault="00F831B3">
    <w:pPr>
      <w:pStyle w:val="Footer"/>
    </w:pPr>
    <w:r>
      <w:rPr>
        <w:noProof/>
        <w14:ligatures w14:val="standardContextual"/>
      </w:rPr>
      <mc:AlternateContent>
        <mc:Choice Requires="wps">
          <w:drawing>
            <wp:anchor distT="0" distB="0" distL="0" distR="0" simplePos="0" relativeHeight="251658244" behindDoc="0" locked="0" layoutInCell="1" allowOverlap="1" wp14:anchorId="3B9192B0" wp14:editId="3FF1A1E4">
              <wp:simplePos x="635" y="635"/>
              <wp:positionH relativeFrom="page">
                <wp:align>right</wp:align>
              </wp:positionH>
              <wp:positionV relativeFrom="page">
                <wp:align>bottom</wp:align>
              </wp:positionV>
              <wp:extent cx="1172210" cy="368935"/>
              <wp:effectExtent l="0" t="0" r="0" b="0"/>
              <wp:wrapNone/>
              <wp:docPr id="1848051133" name="Text Box 2" descr="Official Use Only">
                <a:extLst xmlns:a="http://schemas.openxmlformats.org/drawingml/2006/main">
                  <a:ext uri="{FF2B5EF4-FFF2-40B4-BE49-F238E27FC236}">
                    <a16:creationId xmlns:a16="http://schemas.microsoft.com/office/drawing/2014/main" id="{40C5C298-1A9B-4260-BD89-9E780474BBD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763E033D" w14:textId="440F361E" w:rsidR="00F831B3" w:rsidRPr="00F831B3" w:rsidRDefault="00F831B3" w:rsidP="00F831B3">
                          <w:pPr>
                            <w:spacing w:after="0"/>
                            <w:rPr>
                              <w:rFonts w:ascii="Aptos" w:eastAsia="Aptos" w:hAnsi="Aptos" w:cs="Aptos"/>
                              <w:noProof/>
                              <w:color w:val="000000"/>
                            </w:rPr>
                          </w:pPr>
                          <w:r w:rsidRPr="00F831B3">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9192B0"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763E033D" w14:textId="440F361E" w:rsidR="00F831B3" w:rsidRPr="00F831B3" w:rsidRDefault="00F831B3" w:rsidP="00F831B3">
                    <w:pPr>
                      <w:spacing w:after="0"/>
                      <w:rPr>
                        <w:rFonts w:ascii="Aptos" w:eastAsia="Aptos" w:hAnsi="Aptos" w:cs="Aptos"/>
                        <w:noProof/>
                        <w:color w:val="000000"/>
                      </w:rPr>
                    </w:pPr>
                    <w:r w:rsidRPr="00F831B3">
                      <w:rPr>
                        <w:rFonts w:ascii="Aptos" w:eastAsia="Aptos" w:hAnsi="Aptos" w:cs="Aptos"/>
                        <w:noProof/>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5C63" w14:textId="2E1986C7" w:rsidR="007B0642" w:rsidRDefault="00F831B3">
    <w:pPr>
      <w:pStyle w:val="Footer"/>
    </w:pPr>
    <w:r>
      <w:rPr>
        <w:noProof/>
        <w14:ligatures w14:val="standardContextual"/>
      </w:rPr>
      <mc:AlternateContent>
        <mc:Choice Requires="wps">
          <w:drawing>
            <wp:anchor distT="0" distB="0" distL="0" distR="0" simplePos="0" relativeHeight="251658245" behindDoc="0" locked="0" layoutInCell="1" allowOverlap="1" wp14:anchorId="2454405C" wp14:editId="2A21595B">
              <wp:simplePos x="685800" y="10096500"/>
              <wp:positionH relativeFrom="page">
                <wp:align>right</wp:align>
              </wp:positionH>
              <wp:positionV relativeFrom="page">
                <wp:align>bottom</wp:align>
              </wp:positionV>
              <wp:extent cx="1172210" cy="368935"/>
              <wp:effectExtent l="0" t="0" r="0" b="0"/>
              <wp:wrapNone/>
              <wp:docPr id="286222837" name="Text Box 3" descr="Official Use Only">
                <a:extLst xmlns:a="http://schemas.openxmlformats.org/drawingml/2006/main">
                  <a:ext uri="{FF2B5EF4-FFF2-40B4-BE49-F238E27FC236}">
                    <a16:creationId xmlns:a16="http://schemas.microsoft.com/office/drawing/2014/main" id="{E70C5F9E-8C0C-4542-9B22-3BF296FC4C1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5D5A212E" w14:textId="65B7C883" w:rsidR="00F831B3" w:rsidRPr="00F831B3" w:rsidRDefault="00F831B3" w:rsidP="00F831B3">
                          <w:pPr>
                            <w:spacing w:after="0"/>
                            <w:rPr>
                              <w:rFonts w:ascii="Aptos" w:eastAsia="Aptos" w:hAnsi="Aptos" w:cs="Aptos"/>
                              <w:noProof/>
                              <w:color w:val="000000"/>
                            </w:rPr>
                          </w:pPr>
                          <w:r w:rsidRPr="00F831B3">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54405C"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5D5A212E" w14:textId="65B7C883" w:rsidR="00F831B3" w:rsidRPr="00F831B3" w:rsidRDefault="00F831B3" w:rsidP="00F831B3">
                    <w:pPr>
                      <w:spacing w:after="0"/>
                      <w:rPr>
                        <w:rFonts w:ascii="Aptos" w:eastAsia="Aptos" w:hAnsi="Aptos" w:cs="Aptos"/>
                        <w:noProof/>
                        <w:color w:val="000000"/>
                      </w:rPr>
                    </w:pPr>
                    <w:r w:rsidRPr="00F831B3">
                      <w:rPr>
                        <w:rFonts w:ascii="Aptos" w:eastAsia="Aptos" w:hAnsi="Aptos" w:cs="Aptos"/>
                        <w:noProof/>
                        <w:color w:val="00000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41B5" w14:textId="7956F793" w:rsidR="007B0642" w:rsidRDefault="00F831B3">
    <w:pPr>
      <w:pStyle w:val="Footer"/>
    </w:pPr>
    <w:r>
      <w:rPr>
        <w:noProof/>
        <w14:ligatures w14:val="standardContextual"/>
      </w:rPr>
      <mc:AlternateContent>
        <mc:Choice Requires="wps">
          <w:drawing>
            <wp:anchor distT="0" distB="0" distL="0" distR="0" simplePos="0" relativeHeight="251658243" behindDoc="0" locked="0" layoutInCell="1" allowOverlap="1" wp14:anchorId="1864BD83" wp14:editId="07F48248">
              <wp:simplePos x="635" y="635"/>
              <wp:positionH relativeFrom="page">
                <wp:align>right</wp:align>
              </wp:positionH>
              <wp:positionV relativeFrom="page">
                <wp:align>bottom</wp:align>
              </wp:positionV>
              <wp:extent cx="1172210" cy="368935"/>
              <wp:effectExtent l="0" t="0" r="0" b="0"/>
              <wp:wrapNone/>
              <wp:docPr id="1628600101" name="Text Box 1" descr="Official Use Only">
                <a:extLst xmlns:a="http://schemas.openxmlformats.org/drawingml/2006/main">
                  <a:ext uri="{FF2B5EF4-FFF2-40B4-BE49-F238E27FC236}">
                    <a16:creationId xmlns:a16="http://schemas.microsoft.com/office/drawing/2014/main" id="{1BAF0D2D-7C0C-4209-AC9E-26291E0496D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4E9186E1" w14:textId="3FF03CE1" w:rsidR="00F831B3" w:rsidRPr="00F831B3" w:rsidRDefault="00F831B3" w:rsidP="00F831B3">
                          <w:pPr>
                            <w:spacing w:after="0"/>
                            <w:rPr>
                              <w:rFonts w:ascii="Aptos" w:eastAsia="Aptos" w:hAnsi="Aptos" w:cs="Aptos"/>
                              <w:noProof/>
                              <w:color w:val="000000"/>
                            </w:rPr>
                          </w:pPr>
                          <w:r w:rsidRPr="00F831B3">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64BD83"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4E9186E1" w14:textId="3FF03CE1" w:rsidR="00F831B3" w:rsidRPr="00F831B3" w:rsidRDefault="00F831B3" w:rsidP="00F831B3">
                    <w:pPr>
                      <w:spacing w:after="0"/>
                      <w:rPr>
                        <w:rFonts w:ascii="Aptos" w:eastAsia="Aptos" w:hAnsi="Aptos" w:cs="Aptos"/>
                        <w:noProof/>
                        <w:color w:val="000000"/>
                      </w:rPr>
                    </w:pPr>
                    <w:r w:rsidRPr="00F831B3">
                      <w:rPr>
                        <w:rFonts w:ascii="Aptos" w:eastAsia="Aptos" w:hAnsi="Aptos" w:cs="Aptos"/>
                        <w:noProof/>
                        <w:color w:val="00000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B34D" w14:textId="77777777" w:rsidR="00CC208B" w:rsidRDefault="00CC208B" w:rsidP="006F5F6D">
      <w:pPr>
        <w:spacing w:after="0" w:line="240" w:lineRule="auto"/>
      </w:pPr>
      <w:r>
        <w:separator/>
      </w:r>
    </w:p>
  </w:footnote>
  <w:footnote w:type="continuationSeparator" w:id="0">
    <w:p w14:paraId="3D84BE67" w14:textId="77777777" w:rsidR="00CC208B" w:rsidRDefault="00CC208B" w:rsidP="006F5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E807" w14:textId="3E3017B1" w:rsidR="006F5F6D" w:rsidRPr="007D4B15" w:rsidRDefault="00A916D6">
    <w:pPr>
      <w:pStyle w:val="Header"/>
    </w:pPr>
    <w:r>
      <w:rPr>
        <w:noProof/>
        <w14:ligatures w14:val="standardContextual"/>
      </w:rPr>
      <w:drawing>
        <wp:anchor distT="0" distB="0" distL="114300" distR="114300" simplePos="0" relativeHeight="251660293" behindDoc="0" locked="0" layoutInCell="1" allowOverlap="1" wp14:anchorId="5609B5AB" wp14:editId="61207B8A">
          <wp:simplePos x="0" y="0"/>
          <wp:positionH relativeFrom="margin">
            <wp:posOffset>4030980</wp:posOffset>
          </wp:positionH>
          <wp:positionV relativeFrom="paragraph">
            <wp:posOffset>-97790</wp:posOffset>
          </wp:positionV>
          <wp:extent cx="2386965" cy="563837"/>
          <wp:effectExtent l="0" t="0" r="0" b="8255"/>
          <wp:wrapNone/>
          <wp:docPr id="1253526302" name="Picture 2">
            <a:extLst xmlns:a="http://schemas.openxmlformats.org/drawingml/2006/main">
              <a:ext uri="{FF2B5EF4-FFF2-40B4-BE49-F238E27FC236}">
                <a16:creationId xmlns:a16="http://schemas.microsoft.com/office/drawing/2014/main" id="{8107C92F-7777-482A-94C7-ABB83C6A4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26302" name="Picture 1253526302"/>
                  <pic:cNvPicPr/>
                </pic:nvPicPr>
                <pic:blipFill>
                  <a:blip r:embed="rId1">
                    <a:extLst>
                      <a:ext uri="{28A0092B-C50C-407E-A947-70E740481C1C}">
                        <a14:useLocalDpi xmlns:a14="http://schemas.microsoft.com/office/drawing/2010/main" val="0"/>
                      </a:ext>
                    </a:extLst>
                  </a:blip>
                  <a:stretch>
                    <a:fillRect/>
                  </a:stretch>
                </pic:blipFill>
                <pic:spPr>
                  <a:xfrm>
                    <a:off x="0" y="0"/>
                    <a:ext cx="2418122" cy="571197"/>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8241" behindDoc="0" locked="0" layoutInCell="1" allowOverlap="1" wp14:anchorId="4D6AB410" wp14:editId="1090DA8D">
              <wp:simplePos x="0" y="0"/>
              <wp:positionH relativeFrom="column">
                <wp:posOffset>4134290</wp:posOffset>
              </wp:positionH>
              <wp:positionV relativeFrom="paragraph">
                <wp:posOffset>-56320</wp:posOffset>
              </wp:positionV>
              <wp:extent cx="2328203" cy="710419"/>
              <wp:effectExtent l="0" t="0" r="15240" b="13970"/>
              <wp:wrapNone/>
              <wp:docPr id="1946894632" name="Rectangle 1">
                <a:extLst xmlns:a="http://schemas.openxmlformats.org/drawingml/2006/main">
                  <a:ext uri="{FF2B5EF4-FFF2-40B4-BE49-F238E27FC236}">
                    <a16:creationId xmlns:a16="http://schemas.microsoft.com/office/drawing/2014/main" id="{3804352E-3C3E-4F0B-BD50-A1073FEF0C6F}"/>
                  </a:ext>
                </a:extLst>
              </wp:docPr>
              <wp:cNvGraphicFramePr/>
              <a:graphic xmlns:a="http://schemas.openxmlformats.org/drawingml/2006/main">
                <a:graphicData uri="http://schemas.microsoft.com/office/word/2010/wordprocessingShape">
                  <wps:wsp>
                    <wps:cNvSpPr/>
                    <wps:spPr>
                      <a:xfrm>
                        <a:off x="0" y="0"/>
                        <a:ext cx="2328203" cy="71041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EA437" id="Rectangle 1" o:spid="_x0000_s1026" style="position:absolute;margin-left:325.55pt;margin-top:-4.45pt;width:183.3pt;height:55.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" fillcolor="white [3201]" strokecolor="white [3212]" strokeweight="1pt"/>
          </w:pict>
        </mc:Fallback>
      </mc:AlternateContent>
    </w:r>
    <w:r w:rsidR="005C6ED3">
      <w:rPr>
        <w:noProof/>
      </w:rPr>
      <w:drawing>
        <wp:anchor distT="0" distB="0" distL="114300" distR="114300" simplePos="0" relativeHeight="251662341" behindDoc="1" locked="0" layoutInCell="1" allowOverlap="1" wp14:anchorId="02215235" wp14:editId="2F3DCEAC">
          <wp:simplePos x="0" y="0"/>
          <wp:positionH relativeFrom="page">
            <wp:align>center</wp:align>
          </wp:positionH>
          <wp:positionV relativeFrom="page">
            <wp:align>top</wp:align>
          </wp:positionV>
          <wp:extent cx="7552671" cy="10691997"/>
          <wp:effectExtent l="0" t="0" r="0" b="0"/>
          <wp:wrapNone/>
          <wp:docPr id="1450870226" name="Picture 3">
            <a:extLst xmlns:a="http://schemas.openxmlformats.org/drawingml/2006/main">
              <a:ext uri="{FF2B5EF4-FFF2-40B4-BE49-F238E27FC236}">
                <a16:creationId xmlns:a16="http://schemas.microsoft.com/office/drawing/2014/main" id="{FB0A7BF3-22C1-4B26-9BD4-7C74A2081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70226"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552671" cy="10691997"/>
                  </a:xfrm>
                  <a:prstGeom prst="rect">
                    <a:avLst/>
                  </a:prstGeom>
                </pic:spPr>
              </pic:pic>
            </a:graphicData>
          </a:graphic>
          <wp14:sizeRelH relativeFrom="margin">
            <wp14:pctWidth>0</wp14:pctWidth>
          </wp14:sizeRelH>
          <wp14:sizeRelV relativeFrom="margin">
            <wp14:pctHeight>0</wp14:pctHeight>
          </wp14:sizeRelV>
        </wp:anchor>
      </w:drawing>
    </w:r>
    <w:r w:rsidR="007D4B15">
      <w:t>Press release</w:t>
    </w:r>
  </w:p>
  <w:p w14:paraId="17229D77" w14:textId="459C0A42" w:rsidR="006F5F6D" w:rsidRDefault="006F5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6D"/>
    <w:multiLevelType w:val="hybridMultilevel"/>
    <w:tmpl w:val="8376BA12"/>
    <w:lvl w:ilvl="0" w:tplc="B6F08F94">
      <w:numFmt w:val="bullet"/>
      <w:lvlText w:val="-"/>
      <w:lvlJc w:val="left"/>
      <w:pPr>
        <w:ind w:left="720" w:hanging="360"/>
      </w:pPr>
      <w:rPr>
        <w:rFonts w:ascii="Dubai" w:eastAsiaTheme="minorEastAsia"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F5BF0"/>
    <w:multiLevelType w:val="hybridMultilevel"/>
    <w:tmpl w:val="55B2FE24"/>
    <w:lvl w:ilvl="0" w:tplc="4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6EAB5EA4"/>
    <w:multiLevelType w:val="hybridMultilevel"/>
    <w:tmpl w:val="A992CF1A"/>
    <w:lvl w:ilvl="0" w:tplc="04090001">
      <w:start w:val="1"/>
      <w:numFmt w:val="bullet"/>
      <w:lvlText w:val=""/>
      <w:lvlJc w:val="left"/>
      <w:pPr>
        <w:ind w:left="36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3" w15:restartNumberingAfterBreak="0">
    <w:nsid w:val="72DD5236"/>
    <w:multiLevelType w:val="multilevel"/>
    <w:tmpl w:val="3B1E6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DF339B"/>
    <w:multiLevelType w:val="multilevel"/>
    <w:tmpl w:val="6BA88E1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1E12D7"/>
    <w:multiLevelType w:val="hybridMultilevel"/>
    <w:tmpl w:val="BF803C5E"/>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6" w15:restartNumberingAfterBreak="0">
    <w:nsid w:val="7DC82C48"/>
    <w:multiLevelType w:val="hybridMultilevel"/>
    <w:tmpl w:val="1B5C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116906">
    <w:abstractNumId w:val="2"/>
  </w:num>
  <w:num w:numId="2" w16cid:durableId="1821191728">
    <w:abstractNumId w:val="3"/>
  </w:num>
  <w:num w:numId="3" w16cid:durableId="836116035">
    <w:abstractNumId w:val="5"/>
  </w:num>
  <w:num w:numId="4" w16cid:durableId="301813547">
    <w:abstractNumId w:val="0"/>
  </w:num>
  <w:num w:numId="5" w16cid:durableId="223152192">
    <w:abstractNumId w:val="4"/>
  </w:num>
  <w:num w:numId="6" w16cid:durableId="1455323241">
    <w:abstractNumId w:val="1"/>
  </w:num>
  <w:num w:numId="7" w16cid:durableId="766268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54"/>
    <w:rsid w:val="000468DC"/>
    <w:rsid w:val="0005309E"/>
    <w:rsid w:val="00062D7F"/>
    <w:rsid w:val="0008088E"/>
    <w:rsid w:val="000834BE"/>
    <w:rsid w:val="000A51DF"/>
    <w:rsid w:val="000D1C04"/>
    <w:rsid w:val="00144D7E"/>
    <w:rsid w:val="00187554"/>
    <w:rsid w:val="001A74DE"/>
    <w:rsid w:val="002E746D"/>
    <w:rsid w:val="00313811"/>
    <w:rsid w:val="00315247"/>
    <w:rsid w:val="00381C3C"/>
    <w:rsid w:val="003E0AA2"/>
    <w:rsid w:val="003E281A"/>
    <w:rsid w:val="003F71CF"/>
    <w:rsid w:val="004112FF"/>
    <w:rsid w:val="00416975"/>
    <w:rsid w:val="00465146"/>
    <w:rsid w:val="00577853"/>
    <w:rsid w:val="00590453"/>
    <w:rsid w:val="005C6ED3"/>
    <w:rsid w:val="005E4FD3"/>
    <w:rsid w:val="005F0237"/>
    <w:rsid w:val="00604791"/>
    <w:rsid w:val="00647BD4"/>
    <w:rsid w:val="00647E4D"/>
    <w:rsid w:val="006D0DAB"/>
    <w:rsid w:val="006F5F6D"/>
    <w:rsid w:val="00725A29"/>
    <w:rsid w:val="00760AE5"/>
    <w:rsid w:val="00766735"/>
    <w:rsid w:val="00785F96"/>
    <w:rsid w:val="007B0642"/>
    <w:rsid w:val="007D4B15"/>
    <w:rsid w:val="007E0E73"/>
    <w:rsid w:val="00856B37"/>
    <w:rsid w:val="008B72B0"/>
    <w:rsid w:val="008F0079"/>
    <w:rsid w:val="00907886"/>
    <w:rsid w:val="00936B5C"/>
    <w:rsid w:val="009B670A"/>
    <w:rsid w:val="009B6741"/>
    <w:rsid w:val="00A916D6"/>
    <w:rsid w:val="00B229D7"/>
    <w:rsid w:val="00B25302"/>
    <w:rsid w:val="00B861E4"/>
    <w:rsid w:val="00B909C5"/>
    <w:rsid w:val="00BE6678"/>
    <w:rsid w:val="00BF3D7B"/>
    <w:rsid w:val="00C035EC"/>
    <w:rsid w:val="00C42EAD"/>
    <w:rsid w:val="00C62F68"/>
    <w:rsid w:val="00C727CE"/>
    <w:rsid w:val="00C959B6"/>
    <w:rsid w:val="00CB4D10"/>
    <w:rsid w:val="00CC208B"/>
    <w:rsid w:val="00D62B93"/>
    <w:rsid w:val="00D70933"/>
    <w:rsid w:val="00DB5024"/>
    <w:rsid w:val="00E77F72"/>
    <w:rsid w:val="00ED3E1A"/>
    <w:rsid w:val="00EF7FF6"/>
    <w:rsid w:val="00F343A5"/>
    <w:rsid w:val="00F53A34"/>
    <w:rsid w:val="00F831B3"/>
    <w:rsid w:val="00F93069"/>
    <w:rsid w:val="00FA053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7E4C7"/>
  <w15:chartTrackingRefBased/>
  <w15:docId w15:val="{C8F626CF-0945-477B-ACA7-0F423509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B15"/>
    <w:pPr>
      <w:spacing w:after="200" w:line="276" w:lineRule="auto"/>
    </w:pPr>
    <w:rPr>
      <w:rFonts w:ascii="Arial" w:eastAsiaTheme="minorEastAsia" w:hAnsi="Arial"/>
      <w:kern w:val="0"/>
      <w:sz w:val="20"/>
      <w:szCs w:val="20"/>
      <w:lang w:val="en-US" w:bidi="en-US"/>
      <w14:ligatures w14:val="none"/>
    </w:rPr>
  </w:style>
  <w:style w:type="paragraph" w:styleId="Heading1">
    <w:name w:val="heading 1"/>
    <w:basedOn w:val="Normal"/>
    <w:next w:val="Normal"/>
    <w:link w:val="Heading1Char"/>
    <w:uiPriority w:val="9"/>
    <w:qFormat/>
    <w:rsid w:val="00187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554"/>
    <w:rPr>
      <w:rFonts w:eastAsiaTheme="majorEastAsia" w:cstheme="majorBidi"/>
      <w:color w:val="272727" w:themeColor="text1" w:themeTint="D8"/>
    </w:rPr>
  </w:style>
  <w:style w:type="paragraph" w:styleId="Title">
    <w:name w:val="Title"/>
    <w:basedOn w:val="Normal"/>
    <w:next w:val="Normal"/>
    <w:link w:val="TitleChar"/>
    <w:uiPriority w:val="10"/>
    <w:qFormat/>
    <w:rsid w:val="0018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554"/>
    <w:pPr>
      <w:spacing w:before="160"/>
      <w:jc w:val="center"/>
    </w:pPr>
    <w:rPr>
      <w:i/>
      <w:iCs/>
      <w:color w:val="404040" w:themeColor="text1" w:themeTint="BF"/>
    </w:rPr>
  </w:style>
  <w:style w:type="character" w:customStyle="1" w:styleId="QuoteChar">
    <w:name w:val="Quote Char"/>
    <w:basedOn w:val="DefaultParagraphFont"/>
    <w:link w:val="Quote"/>
    <w:uiPriority w:val="29"/>
    <w:rsid w:val="00187554"/>
    <w:rPr>
      <w:i/>
      <w:iCs/>
      <w:color w:val="404040" w:themeColor="text1" w:themeTint="BF"/>
    </w:rPr>
  </w:style>
  <w:style w:type="paragraph" w:styleId="ListParagraph">
    <w:name w:val="List Paragraph"/>
    <w:basedOn w:val="Normal"/>
    <w:uiPriority w:val="34"/>
    <w:qFormat/>
    <w:rsid w:val="00187554"/>
    <w:pPr>
      <w:ind w:left="720"/>
      <w:contextualSpacing/>
    </w:pPr>
  </w:style>
  <w:style w:type="character" w:styleId="IntenseEmphasis">
    <w:name w:val="Intense Emphasis"/>
    <w:basedOn w:val="DefaultParagraphFont"/>
    <w:uiPriority w:val="21"/>
    <w:qFormat/>
    <w:rsid w:val="00187554"/>
    <w:rPr>
      <w:i/>
      <w:iCs/>
      <w:color w:val="0F4761" w:themeColor="accent1" w:themeShade="BF"/>
    </w:rPr>
  </w:style>
  <w:style w:type="paragraph" w:styleId="IntenseQuote">
    <w:name w:val="Intense Quote"/>
    <w:basedOn w:val="Normal"/>
    <w:next w:val="Normal"/>
    <w:link w:val="IntenseQuoteChar"/>
    <w:uiPriority w:val="30"/>
    <w:qFormat/>
    <w:rsid w:val="00187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554"/>
    <w:rPr>
      <w:i/>
      <w:iCs/>
      <w:color w:val="0F4761" w:themeColor="accent1" w:themeShade="BF"/>
    </w:rPr>
  </w:style>
  <w:style w:type="character" w:styleId="IntenseReference">
    <w:name w:val="Intense Reference"/>
    <w:basedOn w:val="DefaultParagraphFont"/>
    <w:uiPriority w:val="32"/>
    <w:qFormat/>
    <w:rsid w:val="00187554"/>
    <w:rPr>
      <w:b/>
      <w:bCs/>
      <w:smallCaps/>
      <w:color w:val="0F4761" w:themeColor="accent1" w:themeShade="BF"/>
      <w:spacing w:val="5"/>
    </w:rPr>
  </w:style>
  <w:style w:type="paragraph" w:styleId="Header">
    <w:name w:val="header"/>
    <w:basedOn w:val="Normal"/>
    <w:link w:val="HeaderChar"/>
    <w:uiPriority w:val="99"/>
    <w:unhideWhenUsed/>
    <w:rsid w:val="006F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F6D"/>
  </w:style>
  <w:style w:type="paragraph" w:styleId="Footer">
    <w:name w:val="footer"/>
    <w:basedOn w:val="Normal"/>
    <w:link w:val="FooterChar"/>
    <w:uiPriority w:val="99"/>
    <w:unhideWhenUsed/>
    <w:rsid w:val="006F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F6D"/>
  </w:style>
  <w:style w:type="character" w:styleId="Hyperlink">
    <w:name w:val="Hyperlink"/>
    <w:basedOn w:val="DefaultParagraphFont"/>
    <w:uiPriority w:val="99"/>
    <w:unhideWhenUsed/>
    <w:rsid w:val="007D4B15"/>
    <w:rPr>
      <w:color w:val="467886" w:themeColor="hyperlink"/>
      <w:u w:val="single"/>
    </w:rPr>
  </w:style>
  <w:style w:type="character" w:styleId="CommentReference">
    <w:name w:val="annotation reference"/>
    <w:basedOn w:val="DefaultParagraphFont"/>
    <w:uiPriority w:val="99"/>
    <w:semiHidden/>
    <w:unhideWhenUsed/>
    <w:rsid w:val="00F831B3"/>
    <w:rPr>
      <w:sz w:val="16"/>
      <w:szCs w:val="16"/>
    </w:rPr>
  </w:style>
  <w:style w:type="paragraph" w:styleId="CommentText">
    <w:name w:val="annotation text"/>
    <w:basedOn w:val="Normal"/>
    <w:link w:val="CommentTextChar"/>
    <w:uiPriority w:val="99"/>
    <w:unhideWhenUsed/>
    <w:rsid w:val="00F831B3"/>
    <w:pPr>
      <w:spacing w:line="240" w:lineRule="auto"/>
    </w:pPr>
  </w:style>
  <w:style w:type="character" w:customStyle="1" w:styleId="CommentTextChar">
    <w:name w:val="Comment Text Char"/>
    <w:basedOn w:val="DefaultParagraphFont"/>
    <w:link w:val="CommentText"/>
    <w:uiPriority w:val="99"/>
    <w:rsid w:val="00F831B3"/>
    <w:rPr>
      <w:rFonts w:ascii="Arial" w:eastAsiaTheme="minorEastAsia" w:hAnsi="Arial"/>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F831B3"/>
    <w:rPr>
      <w:b/>
      <w:bCs/>
    </w:rPr>
  </w:style>
  <w:style w:type="character" w:customStyle="1" w:styleId="CommentSubjectChar">
    <w:name w:val="Comment Subject Char"/>
    <w:basedOn w:val="CommentTextChar"/>
    <w:link w:val="CommentSubject"/>
    <w:uiPriority w:val="99"/>
    <w:semiHidden/>
    <w:rsid w:val="00F831B3"/>
    <w:rPr>
      <w:rFonts w:ascii="Arial" w:eastAsiaTheme="minorEastAsia" w:hAnsi="Arial"/>
      <w:b/>
      <w:bCs/>
      <w:kern w:val="0"/>
      <w:sz w:val="20"/>
      <w:szCs w:val="20"/>
      <w:lang w:val="en-US" w:bidi="en-US"/>
      <w14:ligatures w14:val="none"/>
    </w:rPr>
  </w:style>
  <w:style w:type="paragraph" w:styleId="Revision">
    <w:name w:val="Revision"/>
    <w:hidden/>
    <w:uiPriority w:val="99"/>
    <w:semiHidden/>
    <w:rsid w:val="00F831B3"/>
    <w:pPr>
      <w:spacing w:after="0" w:line="240" w:lineRule="auto"/>
    </w:pPr>
    <w:rPr>
      <w:rFonts w:ascii="Arial" w:eastAsiaTheme="minorEastAsia" w:hAnsi="Arial"/>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5374">
      <w:bodyDiv w:val="1"/>
      <w:marLeft w:val="0"/>
      <w:marRight w:val="0"/>
      <w:marTop w:val="0"/>
      <w:marBottom w:val="0"/>
      <w:divBdr>
        <w:top w:val="none" w:sz="0" w:space="0" w:color="auto"/>
        <w:left w:val="none" w:sz="0" w:space="0" w:color="auto"/>
        <w:bottom w:val="none" w:sz="0" w:space="0" w:color="auto"/>
        <w:right w:val="none" w:sz="0" w:space="0" w:color="auto"/>
      </w:divBdr>
    </w:div>
    <w:div w:id="15193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dcmc.gov.a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A063-77B5-2647-B88C-EF63AAC2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 Ashraf</dc:creator>
  <cp:keywords/>
  <dc:description/>
  <cp:lastModifiedBy>Jenene Bronwin Batts</cp:lastModifiedBy>
  <cp:revision>6</cp:revision>
  <dcterms:created xsi:type="dcterms:W3CDTF">2026-04-23T15:43:00Z</dcterms:created>
  <dcterms:modified xsi:type="dcterms:W3CDTF">2026-05-21T11:05:00Z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61127725,6e2705bd,110f69f5</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44b50724-87c1-4b02-94c8-e7d88c4f4b62_Enabled">
    <vt:lpwstr>true</vt:lpwstr>
  </property>
  <property fmtid="{D5CDD505-2E9C-101B-9397-08002B2CF9AE}" pid="6" name="MSIP_Label_44b50724-87c1-4b02-94c8-e7d88c4f4b62_SetDate">
    <vt:lpwstr>2026-04-15T10:33:16Z</vt:lpwstr>
  </property>
  <property fmtid="{D5CDD505-2E9C-101B-9397-08002B2CF9AE}" pid="7" name="MSIP_Label_44b50724-87c1-4b02-94c8-e7d88c4f4b62_Method">
    <vt:lpwstr>Standard</vt:lpwstr>
  </property>
  <property fmtid="{D5CDD505-2E9C-101B-9397-08002B2CF9AE}" pid="8" name="MSIP_Label_44b50724-87c1-4b02-94c8-e7d88c4f4b62_Name">
    <vt:lpwstr>Confidential</vt:lpwstr>
  </property>
  <property fmtid="{D5CDD505-2E9C-101B-9397-08002B2CF9AE}" pid="9" name="MSIP_Label_44b50724-87c1-4b02-94c8-e7d88c4f4b62_SiteId">
    <vt:lpwstr>0cefd05a-5b38-4ce7-96bb-c31e6e251d18</vt:lpwstr>
  </property>
  <property fmtid="{D5CDD505-2E9C-101B-9397-08002B2CF9AE}" pid="10" name="MSIP_Label_44b50724-87c1-4b02-94c8-e7d88c4f4b62_ActionId">
    <vt:lpwstr>2ce8fddf-bbfb-4531-b2ef-feaa5b161b62</vt:lpwstr>
  </property>
  <property fmtid="{D5CDD505-2E9C-101B-9397-08002B2CF9AE}" pid="11" name="MSIP_Label_44b50724-87c1-4b02-94c8-e7d88c4f4b62_ContentBits">
    <vt:lpwstr>2</vt:lpwstr>
  </property>
  <property fmtid="{D5CDD505-2E9C-101B-9397-08002B2CF9AE}" pid="12" name="MSIP_Label_44b50724-87c1-4b02-94c8-e7d88c4f4b62_Tag">
    <vt:lpwstr>10, 3, 0, 1</vt:lpwstr>
  </property>
  <property fmtid="{D5CDD505-2E9C-101B-9397-08002B2CF9AE}" pid="13" name="MSIP_Label_f1bf45b6-5649-4236-82a3-f45024cd282e_Enabled">
    <vt:lpwstr>true</vt:lpwstr>
  </property>
  <property fmtid="{D5CDD505-2E9C-101B-9397-08002B2CF9AE}" pid="14" name="MSIP_Label_f1bf45b6-5649-4236-82a3-f45024cd282e_SetDate">
    <vt:lpwstr>2026-04-16T13:53:30Z</vt:lpwstr>
  </property>
  <property fmtid="{D5CDD505-2E9C-101B-9397-08002B2CF9AE}" pid="15" name="MSIP_Label_f1bf45b6-5649-4236-82a3-f45024cd282e_Method">
    <vt:lpwstr>Standard</vt:lpwstr>
  </property>
  <property fmtid="{D5CDD505-2E9C-101B-9397-08002B2CF9AE}" pid="16" name="MSIP_Label_f1bf45b6-5649-4236-82a3-f45024cd282e_Name">
    <vt:lpwstr>Official Use Only</vt:lpwstr>
  </property>
  <property fmtid="{D5CDD505-2E9C-101B-9397-08002B2CF9AE}" pid="17" name="MSIP_Label_f1bf45b6-5649-4236-82a3-f45024cd282e_SiteId">
    <vt:lpwstr>31a2fec0-266b-4c67-b56e-2796d8f59c36</vt:lpwstr>
  </property>
  <property fmtid="{D5CDD505-2E9C-101B-9397-08002B2CF9AE}" pid="18" name="MSIP_Label_f1bf45b6-5649-4236-82a3-f45024cd282e_ActionId">
    <vt:lpwstr>628268a3-b395-4406-ae88-1fa9fe63fa7c</vt:lpwstr>
  </property>
  <property fmtid="{D5CDD505-2E9C-101B-9397-08002B2CF9AE}" pid="19" name="MSIP_Label_f1bf45b6-5649-4236-82a3-f45024cd282e_ContentBits">
    <vt:lpwstr>2</vt:lpwstr>
  </property>
  <property fmtid="{D5CDD505-2E9C-101B-9397-08002B2CF9AE}" pid="20" name="MSIP_Label_f1bf45b6-5649-4236-82a3-f45024cd282e_Tag">
    <vt:lpwstr>10, 3, 0, 1</vt:lpwstr>
  </property>
</Properties>
</file>