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8D09" w14:textId="438B8E59" w:rsidR="00A03BF6" w:rsidRPr="00F618F7" w:rsidRDefault="00A03BF6" w:rsidP="00A64A92">
      <w:pPr>
        <w:bidi/>
        <w:jc w:val="center"/>
        <w:rPr>
          <w:rFonts w:ascii="Dubai" w:hAnsi="Dubai" w:cs="Dubai"/>
          <w:b/>
          <w:bCs/>
          <w:color w:val="15335F"/>
          <w:sz w:val="36"/>
          <w:szCs w:val="36"/>
          <w:rtl/>
          <w:lang w:bidi="ar-SA"/>
        </w:rPr>
      </w:pPr>
      <w:r w:rsidRPr="00F618F7">
        <w:rPr>
          <w:rFonts w:ascii="Dubai" w:hAnsi="Dubai" w:cs="Dubai"/>
          <w:b/>
          <w:bCs/>
          <w:color w:val="15335F"/>
          <w:sz w:val="36"/>
          <w:szCs w:val="36"/>
          <w:rtl/>
          <w:lang w:bidi="ar-SA"/>
        </w:rPr>
        <w:t>مركز إدارة الطوارئ والأزمات والكوارث لإمارة أبوظبي يُعلن إعادة جدولة "المنتدى العالمي لفهم المخاطر"</w:t>
      </w:r>
    </w:p>
    <w:p w14:paraId="2D161760" w14:textId="77777777" w:rsidR="00A64A92" w:rsidRPr="00F618F7" w:rsidRDefault="00A64A92" w:rsidP="00A03BF6">
      <w:pPr>
        <w:bidi/>
        <w:rPr>
          <w:rFonts w:ascii="Dubai" w:hAnsi="Dubai" w:cs="Dubai"/>
          <w:color w:val="15335F"/>
          <w:sz w:val="24"/>
          <w:szCs w:val="24"/>
          <w:lang w:bidi="ar-SA"/>
        </w:rPr>
      </w:pPr>
    </w:p>
    <w:p w14:paraId="4008DE8E" w14:textId="40F37017" w:rsidR="00A03BF6" w:rsidRPr="00F618F7" w:rsidRDefault="00A03BF6" w:rsidP="00A64A92">
      <w:pPr>
        <w:bidi/>
        <w:rPr>
          <w:rFonts w:ascii="Dubai" w:hAnsi="Dubai" w:cs="Dubai"/>
          <w:color w:val="15335F"/>
          <w:sz w:val="24"/>
          <w:szCs w:val="24"/>
          <w:rtl/>
          <w:lang w:bidi="ar-AE"/>
        </w:rPr>
      </w:pPr>
      <w:r w:rsidRPr="00F618F7">
        <w:rPr>
          <w:rFonts w:ascii="Dubai" w:hAnsi="Dubai" w:cs="Dubai"/>
          <w:color w:val="15335F"/>
          <w:sz w:val="24"/>
          <w:szCs w:val="24"/>
          <w:rtl/>
          <w:lang w:bidi="ar-SA"/>
        </w:rPr>
        <w:t xml:space="preserve">أبوظبي، الإمارات العربية المتحدة، </w:t>
      </w:r>
      <w:r w:rsidR="00F5785A">
        <w:rPr>
          <w:rFonts w:ascii="Dubai" w:hAnsi="Dubai" w:cs="Dubai"/>
          <w:color w:val="15335F"/>
          <w:sz w:val="24"/>
          <w:szCs w:val="24"/>
          <w:lang w:bidi="ar-SA"/>
        </w:rPr>
        <w:t>21</w:t>
      </w:r>
      <w:r w:rsidRPr="00F618F7">
        <w:rPr>
          <w:rFonts w:ascii="Dubai" w:hAnsi="Dubai" w:cs="Dubai"/>
          <w:color w:val="15335F"/>
          <w:sz w:val="24"/>
          <w:szCs w:val="24"/>
          <w:rtl/>
          <w:lang w:bidi="ar-AE"/>
        </w:rPr>
        <w:t xml:space="preserve"> </w:t>
      </w:r>
      <w:r w:rsidR="00AE3DED" w:rsidRPr="00F618F7">
        <w:rPr>
          <w:rFonts w:ascii="Dubai" w:hAnsi="Dubai" w:cs="Dubai" w:hint="cs"/>
          <w:color w:val="15335F"/>
          <w:sz w:val="24"/>
          <w:szCs w:val="24"/>
          <w:rtl/>
          <w:lang w:bidi="ar-AE"/>
        </w:rPr>
        <w:t>مايو</w:t>
      </w:r>
      <w:r w:rsidRPr="00F618F7">
        <w:rPr>
          <w:rFonts w:ascii="Dubai" w:hAnsi="Dubai" w:cs="Dubai"/>
          <w:color w:val="15335F"/>
          <w:sz w:val="24"/>
          <w:szCs w:val="24"/>
          <w:rtl/>
          <w:lang w:bidi="ar-AE"/>
        </w:rPr>
        <w:t xml:space="preserve"> 2026:</w:t>
      </w:r>
    </w:p>
    <w:p w14:paraId="30D36AC2" w14:textId="1BFB44C9" w:rsidR="00D91F4D" w:rsidRPr="00F618F7" w:rsidRDefault="00D91F4D" w:rsidP="004D21FC">
      <w:pPr>
        <w:bidi/>
        <w:rPr>
          <w:rFonts w:ascii="Dubai" w:hAnsi="Dubai" w:cs="Dubai"/>
          <w:color w:val="15335F"/>
          <w:sz w:val="24"/>
          <w:szCs w:val="24"/>
          <w:lang w:bidi="ar-AE"/>
        </w:rPr>
      </w:pPr>
      <w:r w:rsidRPr="00F618F7">
        <w:rPr>
          <w:rFonts w:ascii="Dubai" w:hAnsi="Dubai" w:cs="Dubai"/>
          <w:color w:val="15335F"/>
          <w:sz w:val="24"/>
          <w:szCs w:val="24"/>
          <w:rtl/>
          <w:lang w:bidi="ar-SA"/>
        </w:rPr>
        <w:t>أعلن مركز إدارة الطوارئ والأزمات والكوارث لإمارة أبوظبي</w:t>
      </w:r>
      <w:r w:rsidR="00A64A92" w:rsidRPr="00F618F7">
        <w:rPr>
          <w:rFonts w:ascii="Dubai" w:hAnsi="Dubai" w:cs="Dubai"/>
          <w:color w:val="15335F"/>
          <w:sz w:val="24"/>
          <w:szCs w:val="24"/>
          <w:lang w:bidi="ar-SA"/>
        </w:rPr>
        <w:t xml:space="preserve"> </w:t>
      </w:r>
      <w:r w:rsidRPr="00F618F7">
        <w:rPr>
          <w:rFonts w:ascii="Dubai" w:hAnsi="Dubai" w:cs="Dubai"/>
          <w:color w:val="15335F"/>
          <w:sz w:val="24"/>
          <w:szCs w:val="24"/>
          <w:rtl/>
          <w:lang w:bidi="ar-SA"/>
        </w:rPr>
        <w:t>(</w:t>
      </w:r>
      <w:r w:rsidRPr="00F618F7">
        <w:rPr>
          <w:rFonts w:ascii="Dubai" w:hAnsi="Dubai" w:cs="Dubai"/>
          <w:color w:val="15335F"/>
          <w:sz w:val="24"/>
          <w:szCs w:val="24"/>
          <w:lang w:bidi="ar-AE"/>
        </w:rPr>
        <w:t>ADCMC</w:t>
      </w:r>
      <w:r w:rsidRPr="00F618F7">
        <w:rPr>
          <w:rFonts w:ascii="Dubai" w:hAnsi="Dubai" w:cs="Dubai"/>
          <w:color w:val="15335F"/>
          <w:sz w:val="24"/>
          <w:szCs w:val="24"/>
          <w:rtl/>
          <w:lang w:bidi="ar-AE"/>
        </w:rPr>
        <w:t>)</w:t>
      </w:r>
      <w:r w:rsidRPr="00F618F7">
        <w:rPr>
          <w:rFonts w:ascii="Dubai" w:hAnsi="Dubai" w:cs="Dubai"/>
          <w:color w:val="15335F"/>
          <w:sz w:val="24"/>
          <w:szCs w:val="24"/>
          <w:rtl/>
          <w:lang w:bidi="ar-SA"/>
        </w:rPr>
        <w:t>، بالتنسيق مع الصندوق العالمي للحد من الكوارث والتعافي</w:t>
      </w:r>
      <w:r w:rsidRPr="00F618F7">
        <w:rPr>
          <w:rFonts w:ascii="Dubai" w:hAnsi="Dubai" w:cs="Dubai"/>
          <w:color w:val="15335F"/>
          <w:sz w:val="24"/>
          <w:szCs w:val="24"/>
          <w:lang w:bidi="ar-AE"/>
        </w:rPr>
        <w:t xml:space="preserve"> (GFDRR) </w:t>
      </w:r>
      <w:r w:rsidRPr="00F618F7">
        <w:rPr>
          <w:rFonts w:ascii="Dubai" w:hAnsi="Dubai" w:cs="Dubai"/>
          <w:color w:val="15335F"/>
          <w:sz w:val="24"/>
          <w:szCs w:val="24"/>
          <w:rtl/>
          <w:lang w:bidi="ar-SA"/>
        </w:rPr>
        <w:t xml:space="preserve">التابع لمجموعة البنك الدولي، عن إعادة جدولة </w:t>
      </w:r>
      <w:r w:rsidR="00C130CA" w:rsidRPr="00F618F7">
        <w:rPr>
          <w:rFonts w:ascii="Dubai" w:hAnsi="Dubai" w:cs="Dubai"/>
          <w:color w:val="15335F"/>
          <w:sz w:val="24"/>
          <w:szCs w:val="24"/>
          <w:rtl/>
          <w:lang w:bidi="ar-SA"/>
        </w:rPr>
        <w:t>ا</w:t>
      </w:r>
      <w:r w:rsidRPr="00F618F7">
        <w:rPr>
          <w:rFonts w:ascii="Dubai" w:hAnsi="Dubai" w:cs="Dubai"/>
          <w:color w:val="15335F"/>
          <w:sz w:val="24"/>
          <w:szCs w:val="24"/>
          <w:rtl/>
          <w:lang w:bidi="ar-SA"/>
        </w:rPr>
        <w:t>لنسخة التاسعة من "المنتدى العالمي لفهم</w:t>
      </w:r>
      <w:r w:rsidR="00A03BF6" w:rsidRPr="00F618F7">
        <w:rPr>
          <w:rFonts w:ascii="Dubai" w:hAnsi="Dubai" w:cs="Dubai"/>
          <w:color w:val="15335F"/>
          <w:sz w:val="24"/>
          <w:szCs w:val="24"/>
          <w:rtl/>
          <w:lang w:bidi="ar-SA"/>
        </w:rPr>
        <w:t xml:space="preserve"> المخاطر</w:t>
      </w:r>
      <w:r w:rsidRPr="00F618F7">
        <w:rPr>
          <w:rFonts w:ascii="Dubai" w:hAnsi="Dubai" w:cs="Dubai"/>
          <w:color w:val="15335F"/>
          <w:sz w:val="24"/>
          <w:szCs w:val="24"/>
          <w:rtl/>
          <w:lang w:bidi="ar-AE"/>
        </w:rPr>
        <w:t xml:space="preserve">" </w:t>
      </w:r>
      <w:r w:rsidRPr="00F618F7">
        <w:rPr>
          <w:rFonts w:ascii="Dubai" w:hAnsi="Dubai" w:cs="Dubai"/>
          <w:color w:val="15335F"/>
          <w:sz w:val="24"/>
          <w:szCs w:val="24"/>
          <w:rtl/>
          <w:lang w:bidi="ar-SA"/>
        </w:rPr>
        <w:t>ليُقام في الفترة ما بي</w:t>
      </w:r>
      <w:r w:rsidR="008B19F7" w:rsidRPr="00F618F7">
        <w:rPr>
          <w:rFonts w:ascii="Dubai" w:hAnsi="Dubai" w:cs="Dubai" w:hint="cs"/>
          <w:color w:val="15335F"/>
          <w:sz w:val="24"/>
          <w:szCs w:val="24"/>
          <w:rtl/>
          <w:lang w:bidi="ar-SA"/>
        </w:rPr>
        <w:t xml:space="preserve">ن 10 </w:t>
      </w:r>
      <w:r w:rsidRPr="00F618F7">
        <w:rPr>
          <w:rFonts w:ascii="Dubai" w:hAnsi="Dubai" w:cs="Dubai"/>
          <w:color w:val="15335F"/>
          <w:sz w:val="24"/>
          <w:szCs w:val="24"/>
          <w:rtl/>
          <w:lang w:bidi="ar-SA"/>
        </w:rPr>
        <w:t>و14 مايو 2027</w:t>
      </w:r>
      <w:r w:rsidR="00C130CA" w:rsidRPr="00F618F7">
        <w:rPr>
          <w:rFonts w:ascii="Dubai" w:hAnsi="Dubai" w:cs="Dubai"/>
          <w:color w:val="15335F"/>
          <w:sz w:val="24"/>
          <w:szCs w:val="24"/>
          <w:rtl/>
          <w:lang w:bidi="ar-SA"/>
        </w:rPr>
        <w:t xml:space="preserve"> في أبوظبي</w:t>
      </w:r>
      <w:r w:rsidR="004D21FC" w:rsidRPr="00F618F7">
        <w:rPr>
          <w:rFonts w:ascii="Dubai" w:hAnsi="Dubai" w:cs="Dubai"/>
          <w:color w:val="15335F"/>
          <w:sz w:val="24"/>
          <w:szCs w:val="24"/>
        </w:rPr>
        <w:t>.</w:t>
      </w:r>
    </w:p>
    <w:p w14:paraId="3BF3C8A7" w14:textId="39666880" w:rsidR="004D21FC" w:rsidRPr="00F618F7" w:rsidRDefault="004D21FC" w:rsidP="00B37AAF">
      <w:pPr>
        <w:bidi/>
        <w:rPr>
          <w:rFonts w:ascii="Dubai" w:hAnsi="Dubai" w:cs="Dubai"/>
          <w:color w:val="15335F"/>
          <w:sz w:val="24"/>
          <w:szCs w:val="24"/>
          <w:rtl/>
          <w:lang w:bidi="ar-AE"/>
        </w:rPr>
      </w:pPr>
      <w:r w:rsidRPr="00F618F7">
        <w:rPr>
          <w:rFonts w:ascii="Dubai" w:hAnsi="Dubai" w:cs="Dubai"/>
          <w:color w:val="15335F"/>
          <w:sz w:val="24"/>
          <w:szCs w:val="24"/>
          <w:rtl/>
          <w:lang w:bidi="ar-AE"/>
        </w:rPr>
        <w:t>ويأتي</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هذا</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القرار</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حرصاً</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على</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ضمان</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الجاهزية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التشغيلية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الشاملة،</w:t>
      </w:r>
      <w:r w:rsidRPr="00F618F7">
        <w:rPr>
          <w:rFonts w:ascii="Dubai" w:hAnsi="Dubai" w:cs="Dubai"/>
          <w:color w:val="15335F"/>
          <w:sz w:val="24"/>
          <w:szCs w:val="24"/>
          <w:rtl/>
        </w:rPr>
        <w:t xml:space="preserve"> </w:t>
      </w:r>
      <w:r w:rsidR="007A4180" w:rsidRPr="00F618F7">
        <w:rPr>
          <w:rFonts w:ascii="Dubai" w:hAnsi="Dubai" w:cs="Dubai"/>
          <w:color w:val="15335F"/>
          <w:sz w:val="24"/>
          <w:szCs w:val="24"/>
          <w:rtl/>
          <w:lang w:bidi="ar-AE"/>
        </w:rPr>
        <w:t xml:space="preserve">وبهدف </w:t>
      </w:r>
      <w:r w:rsidR="008B19F7" w:rsidRPr="00F618F7">
        <w:rPr>
          <w:rFonts w:ascii="Dubai" w:hAnsi="Dubai" w:cs="Dubai"/>
          <w:color w:val="15335F"/>
          <w:sz w:val="24"/>
          <w:szCs w:val="24"/>
          <w:rtl/>
          <w:lang w:bidi="ar-AE"/>
        </w:rPr>
        <w:t>تقديم نسخة استثنائية</w:t>
      </w:r>
      <w:r w:rsidR="008B19F7" w:rsidRPr="00F618F7">
        <w:rPr>
          <w:rFonts w:ascii="Dubai" w:hAnsi="Dubai" w:cs="Dubai" w:hint="cs"/>
          <w:color w:val="15335F"/>
          <w:sz w:val="24"/>
          <w:szCs w:val="24"/>
          <w:rtl/>
          <w:lang w:bidi="ar-AE"/>
        </w:rPr>
        <w:t xml:space="preserve"> </w:t>
      </w:r>
      <w:r w:rsidRPr="00F618F7">
        <w:rPr>
          <w:rFonts w:ascii="Dubai" w:hAnsi="Dubai" w:cs="Dubai"/>
          <w:color w:val="15335F"/>
          <w:sz w:val="24"/>
          <w:szCs w:val="24"/>
          <w:rtl/>
          <w:lang w:bidi="ar-AE"/>
        </w:rPr>
        <w:t>تليق</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بمكانة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الحدث</w:t>
      </w:r>
      <w:r w:rsidRPr="00F618F7">
        <w:rPr>
          <w:rFonts w:ascii="Dubai" w:hAnsi="Dubai" w:cs="Dubai"/>
          <w:color w:val="15335F"/>
          <w:sz w:val="24"/>
          <w:szCs w:val="24"/>
          <w:rtl/>
        </w:rPr>
        <w:t xml:space="preserve"> </w:t>
      </w:r>
      <w:r w:rsidR="00A03BF6" w:rsidRPr="00F618F7">
        <w:rPr>
          <w:rFonts w:ascii="Dubai" w:hAnsi="Dubai" w:cs="Dubai"/>
          <w:color w:val="15335F"/>
          <w:sz w:val="24"/>
          <w:szCs w:val="24"/>
          <w:rtl/>
          <w:lang w:bidi="ar-AE"/>
        </w:rPr>
        <w:t xml:space="preserve">الذي يُستضاف لأول مرة في الشرق الأوسط والمنطقة </w:t>
      </w:r>
      <w:r w:rsidRPr="00F618F7">
        <w:rPr>
          <w:rFonts w:ascii="Dubai" w:hAnsi="Dubai" w:cs="Dubai"/>
          <w:color w:val="15335F"/>
          <w:sz w:val="24"/>
          <w:szCs w:val="24"/>
          <w:rtl/>
          <w:lang w:bidi="ar-AE"/>
        </w:rPr>
        <w:t>كمنصة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عالمية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رفيعة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تجمع</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نخبة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صُنّاع</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القرار</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والخبراء</w:t>
      </w:r>
      <w:r w:rsidR="00B37AAF" w:rsidRPr="00F618F7">
        <w:rPr>
          <w:rFonts w:ascii="Dubai" w:hAnsi="Dubai" w:cs="Dubai"/>
          <w:color w:val="15335F"/>
          <w:sz w:val="24"/>
          <w:szCs w:val="24"/>
          <w:rtl/>
          <w:lang w:bidi="ar-AE"/>
        </w:rPr>
        <w:t>.</w:t>
      </w:r>
    </w:p>
    <w:p w14:paraId="79C1B74B" w14:textId="615607B7" w:rsidR="00445264" w:rsidRPr="00F618F7" w:rsidRDefault="00D91F4D" w:rsidP="00A03BF6">
      <w:pPr>
        <w:bidi/>
        <w:rPr>
          <w:rFonts w:ascii="Dubai" w:hAnsi="Dubai" w:cs="Dubai"/>
          <w:color w:val="15335F"/>
          <w:sz w:val="24"/>
          <w:szCs w:val="24"/>
          <w:rtl/>
          <w:lang w:bidi="ar-SA"/>
        </w:rPr>
      </w:pPr>
      <w:r w:rsidRPr="00F618F7">
        <w:rPr>
          <w:rFonts w:ascii="Dubai" w:hAnsi="Dubai" w:cs="Dubai"/>
          <w:color w:val="15335F"/>
          <w:sz w:val="24"/>
          <w:szCs w:val="24"/>
          <w:rtl/>
          <w:lang w:bidi="ar-SA"/>
        </w:rPr>
        <w:t xml:space="preserve">يُذكر أن </w:t>
      </w:r>
      <w:r w:rsidR="00501989" w:rsidRPr="00F618F7">
        <w:rPr>
          <w:rFonts w:ascii="Dubai" w:hAnsi="Dubai" w:cs="Dubai"/>
          <w:color w:val="15335F"/>
          <w:sz w:val="24"/>
          <w:szCs w:val="24"/>
          <w:rtl/>
          <w:lang w:bidi="ar-SA"/>
        </w:rPr>
        <w:t>"</w:t>
      </w:r>
      <w:r w:rsidRPr="00F618F7">
        <w:rPr>
          <w:rFonts w:ascii="Dubai" w:hAnsi="Dubai" w:cs="Dubai"/>
          <w:color w:val="15335F"/>
          <w:sz w:val="24"/>
          <w:szCs w:val="24"/>
          <w:rtl/>
          <w:lang w:bidi="ar-SA"/>
        </w:rPr>
        <w:t xml:space="preserve">المنتدى </w:t>
      </w:r>
      <w:r w:rsidR="00501989" w:rsidRPr="00F618F7">
        <w:rPr>
          <w:rFonts w:ascii="Dubai" w:hAnsi="Dubai" w:cs="Dubai"/>
          <w:color w:val="15335F"/>
          <w:sz w:val="24"/>
          <w:szCs w:val="24"/>
          <w:rtl/>
          <w:lang w:bidi="ar-SA"/>
        </w:rPr>
        <w:t>العالمي لفهم المخاطر</w:t>
      </w:r>
      <w:r w:rsidR="007A4180" w:rsidRPr="00F618F7">
        <w:rPr>
          <w:rFonts w:ascii="Dubai" w:hAnsi="Dubai" w:cs="Dubai"/>
          <w:color w:val="15335F"/>
          <w:sz w:val="24"/>
          <w:szCs w:val="24"/>
          <w:rtl/>
          <w:lang w:bidi="ar-SA"/>
        </w:rPr>
        <w:t xml:space="preserve"> </w:t>
      </w:r>
      <w:r w:rsidR="00501989" w:rsidRPr="00F618F7">
        <w:rPr>
          <w:rFonts w:ascii="Dubai" w:hAnsi="Dubai" w:cs="Dubai"/>
          <w:color w:val="15335F"/>
          <w:sz w:val="24"/>
          <w:szCs w:val="24"/>
          <w:rtl/>
          <w:lang w:bidi="ar-SA"/>
        </w:rPr>
        <w:t xml:space="preserve">" </w:t>
      </w:r>
      <w:r w:rsidRPr="00F618F7">
        <w:rPr>
          <w:rFonts w:ascii="Dubai" w:hAnsi="Dubai" w:cs="Dubai"/>
          <w:color w:val="15335F"/>
          <w:sz w:val="24"/>
          <w:szCs w:val="24"/>
          <w:rtl/>
          <w:lang w:bidi="ar-SA"/>
        </w:rPr>
        <w:t>يُعد المنصة الدولية الأبرز التي تجمع أكثر من 1500 من صُنّاع القرار والخبراء والباحثين من مختلف دول العالم، لمناقشة سُبل فهم المخاطر المتزايدة وتعزيز المرونة المجتمعية والمؤسسية عبر الحلول المبتكرة والتعاون العابر للحدود. وستحتضن فعاليات المنتدى في موعدها الجديد "</w:t>
      </w:r>
      <w:r w:rsidR="00501989" w:rsidRPr="00F618F7">
        <w:rPr>
          <w:rFonts w:ascii="Dubai" w:hAnsi="Dubai" w:cs="Dubai"/>
          <w:color w:val="15335F"/>
          <w:sz w:val="24"/>
          <w:szCs w:val="24"/>
          <w:rtl/>
          <w:lang w:bidi="ar-SA"/>
        </w:rPr>
        <w:t>شركة أبوظبي الوطنية للمعارض - أدنيك</w:t>
      </w:r>
      <w:r w:rsidRPr="00F618F7">
        <w:rPr>
          <w:rFonts w:ascii="Dubai" w:hAnsi="Dubai" w:cs="Dubai"/>
          <w:color w:val="15335F"/>
          <w:sz w:val="24"/>
          <w:szCs w:val="24"/>
          <w:rtl/>
          <w:lang w:bidi="ar-SA"/>
        </w:rPr>
        <w:t>"، متضمنةً جلسات حوارية وورش عمل تفاعلية</w:t>
      </w:r>
      <w:r w:rsidR="00501989" w:rsidRPr="00F618F7">
        <w:rPr>
          <w:rFonts w:ascii="Dubai" w:hAnsi="Dubai" w:cs="Dubai"/>
          <w:color w:val="15335F"/>
          <w:sz w:val="24"/>
          <w:szCs w:val="24"/>
          <w:rtl/>
          <w:lang w:bidi="ar-SA"/>
        </w:rPr>
        <w:t>.</w:t>
      </w:r>
    </w:p>
    <w:p w14:paraId="36B852D0" w14:textId="77777777" w:rsidR="00AE3DED" w:rsidRPr="00F618F7" w:rsidRDefault="00AE3DED" w:rsidP="00AE3DED">
      <w:pPr>
        <w:bidi/>
        <w:rPr>
          <w:rFonts w:ascii="Dubai" w:hAnsi="Dubai" w:cs="Dubai"/>
          <w:color w:val="15335F"/>
          <w:sz w:val="24"/>
          <w:szCs w:val="24"/>
          <w:rtl/>
          <w:lang w:bidi="ar-SA"/>
        </w:rPr>
      </w:pPr>
    </w:p>
    <w:p w14:paraId="167EE905" w14:textId="33616227" w:rsidR="00C130CA" w:rsidRPr="00F618F7" w:rsidRDefault="00C130CA" w:rsidP="00C7459C">
      <w:pPr>
        <w:bidi/>
        <w:jc w:val="center"/>
        <w:rPr>
          <w:rFonts w:ascii="Dubai" w:hAnsi="Dubai" w:cs="Dubai"/>
          <w:b/>
          <w:bCs/>
          <w:color w:val="15335F"/>
          <w:sz w:val="24"/>
          <w:szCs w:val="24"/>
          <w:lang w:bidi="ar-SA"/>
        </w:rPr>
      </w:pPr>
      <w:r w:rsidRPr="00F618F7">
        <w:rPr>
          <w:rFonts w:ascii="Dubai" w:hAnsi="Dubai" w:cs="Dubai"/>
          <w:b/>
          <w:bCs/>
          <w:color w:val="15335F"/>
          <w:sz w:val="24"/>
          <w:szCs w:val="24"/>
          <w:rtl/>
          <w:lang w:bidi="ar-SA"/>
        </w:rPr>
        <w:t>-انتهى-</w:t>
      </w:r>
    </w:p>
    <w:p w14:paraId="36D9DE40" w14:textId="77777777" w:rsidR="00B37AAF" w:rsidRPr="00F618F7" w:rsidRDefault="00B37AAF" w:rsidP="00445264">
      <w:pPr>
        <w:bidi/>
        <w:spacing w:after="0"/>
        <w:jc w:val="both"/>
        <w:rPr>
          <w:rFonts w:ascii="Dubai" w:hAnsi="Dubai" w:cs="Dubai"/>
          <w:b/>
          <w:bCs/>
          <w:color w:val="15335F"/>
          <w:sz w:val="24"/>
          <w:szCs w:val="24"/>
          <w:rtl/>
          <w:lang w:bidi="ar-AE"/>
        </w:rPr>
      </w:pPr>
    </w:p>
    <w:p w14:paraId="705E64CB" w14:textId="77777777" w:rsidR="00B37AAF" w:rsidRPr="00F618F7" w:rsidRDefault="00B37AAF" w:rsidP="00B37AAF">
      <w:pPr>
        <w:bidi/>
        <w:spacing w:after="0"/>
        <w:jc w:val="both"/>
        <w:rPr>
          <w:rFonts w:ascii="Dubai" w:hAnsi="Dubai" w:cs="Dubai"/>
          <w:b/>
          <w:bCs/>
          <w:color w:val="15335F"/>
          <w:sz w:val="24"/>
          <w:szCs w:val="24"/>
          <w:rtl/>
          <w:lang w:bidi="ar-AE"/>
        </w:rPr>
      </w:pPr>
    </w:p>
    <w:p w14:paraId="3D51E8AF" w14:textId="77777777" w:rsidR="00B37AAF" w:rsidRPr="00F618F7" w:rsidRDefault="00B37AAF" w:rsidP="00B37AAF">
      <w:pPr>
        <w:bidi/>
        <w:spacing w:after="0"/>
        <w:jc w:val="both"/>
        <w:rPr>
          <w:rFonts w:ascii="Dubai" w:hAnsi="Dubai" w:cs="Dubai"/>
          <w:b/>
          <w:bCs/>
          <w:color w:val="15335F"/>
          <w:sz w:val="24"/>
          <w:szCs w:val="24"/>
          <w:rtl/>
          <w:lang w:bidi="ar-AE"/>
        </w:rPr>
      </w:pPr>
    </w:p>
    <w:p w14:paraId="7C1DEFB5" w14:textId="77777777" w:rsidR="00B37AAF" w:rsidRPr="00F618F7" w:rsidRDefault="00B37AAF" w:rsidP="00B37AAF">
      <w:pPr>
        <w:bidi/>
        <w:spacing w:after="0"/>
        <w:jc w:val="both"/>
        <w:rPr>
          <w:rFonts w:ascii="Dubai" w:hAnsi="Dubai" w:cs="Dubai"/>
          <w:b/>
          <w:bCs/>
          <w:color w:val="15335F"/>
          <w:sz w:val="24"/>
          <w:szCs w:val="24"/>
          <w:rtl/>
          <w:lang w:bidi="ar-AE"/>
        </w:rPr>
      </w:pPr>
    </w:p>
    <w:p w14:paraId="70D44CF7" w14:textId="77777777" w:rsidR="00B37AAF" w:rsidRPr="00F618F7" w:rsidRDefault="00B37AAF" w:rsidP="00B37AAF">
      <w:pPr>
        <w:bidi/>
        <w:spacing w:after="0"/>
        <w:jc w:val="both"/>
        <w:rPr>
          <w:rFonts w:ascii="Dubai" w:hAnsi="Dubai" w:cs="Dubai"/>
          <w:b/>
          <w:bCs/>
          <w:color w:val="15335F"/>
          <w:sz w:val="24"/>
          <w:szCs w:val="24"/>
          <w:lang w:bidi="ar-AE"/>
        </w:rPr>
      </w:pPr>
    </w:p>
    <w:p w14:paraId="3A0000D4" w14:textId="77777777" w:rsidR="00A64A92" w:rsidRPr="00F618F7" w:rsidRDefault="00A64A92" w:rsidP="00A64A92">
      <w:pPr>
        <w:bidi/>
        <w:spacing w:after="0"/>
        <w:jc w:val="both"/>
        <w:rPr>
          <w:rFonts w:ascii="Dubai" w:hAnsi="Dubai" w:cs="Dubai"/>
          <w:b/>
          <w:bCs/>
          <w:color w:val="15335F"/>
          <w:sz w:val="24"/>
          <w:szCs w:val="24"/>
          <w:lang w:bidi="ar-AE"/>
        </w:rPr>
      </w:pPr>
    </w:p>
    <w:p w14:paraId="2475221F" w14:textId="77777777" w:rsidR="00A64A92" w:rsidRPr="00F618F7" w:rsidRDefault="00A64A92" w:rsidP="00A64A92">
      <w:pPr>
        <w:bidi/>
        <w:spacing w:after="0"/>
        <w:jc w:val="both"/>
        <w:rPr>
          <w:rFonts w:ascii="Dubai" w:hAnsi="Dubai" w:cs="Dubai"/>
          <w:b/>
          <w:bCs/>
          <w:color w:val="15335F"/>
          <w:sz w:val="24"/>
          <w:szCs w:val="24"/>
          <w:rtl/>
          <w:lang w:bidi="ar-AE"/>
        </w:rPr>
      </w:pPr>
    </w:p>
    <w:p w14:paraId="2A69D061" w14:textId="77777777" w:rsidR="00B37AAF" w:rsidRPr="00F618F7" w:rsidRDefault="00B37AAF" w:rsidP="00B37AAF">
      <w:pPr>
        <w:bidi/>
        <w:spacing w:after="0"/>
        <w:jc w:val="both"/>
        <w:rPr>
          <w:rFonts w:ascii="Dubai" w:hAnsi="Dubai" w:cs="Dubai"/>
          <w:b/>
          <w:bCs/>
          <w:color w:val="15335F"/>
          <w:sz w:val="24"/>
          <w:szCs w:val="24"/>
          <w:rtl/>
          <w:lang w:bidi="ar-AE"/>
        </w:rPr>
      </w:pPr>
    </w:p>
    <w:p w14:paraId="0B9E71D0" w14:textId="6CFF8FB1" w:rsidR="00445264" w:rsidRPr="00F618F7" w:rsidRDefault="00445264" w:rsidP="00B37AAF">
      <w:pPr>
        <w:bidi/>
        <w:spacing w:after="0"/>
        <w:jc w:val="both"/>
        <w:rPr>
          <w:rFonts w:ascii="Dubai" w:hAnsi="Dubai" w:cs="Dubai"/>
          <w:b/>
          <w:bCs/>
          <w:color w:val="15335F"/>
          <w:sz w:val="24"/>
          <w:szCs w:val="24"/>
          <w:rtl/>
        </w:rPr>
      </w:pPr>
      <w:r w:rsidRPr="00F618F7">
        <w:rPr>
          <w:rFonts w:ascii="Dubai" w:hAnsi="Dubai" w:cs="Dubai"/>
          <w:b/>
          <w:bCs/>
          <w:color w:val="15335F"/>
          <w:sz w:val="24"/>
          <w:szCs w:val="24"/>
          <w:rtl/>
          <w:lang w:bidi="ar-AE"/>
        </w:rPr>
        <w:lastRenderedPageBreak/>
        <w:t>نبذة</w:t>
      </w:r>
      <w:r w:rsidRPr="00F618F7">
        <w:rPr>
          <w:rFonts w:ascii="Dubai" w:hAnsi="Dubai" w:cs="Dubai"/>
          <w:b/>
          <w:bCs/>
          <w:color w:val="15335F"/>
          <w:sz w:val="24"/>
          <w:szCs w:val="24"/>
          <w:rtl/>
        </w:rPr>
        <w:t xml:space="preserve"> </w:t>
      </w:r>
      <w:r w:rsidRPr="00F618F7">
        <w:rPr>
          <w:rFonts w:ascii="Dubai" w:hAnsi="Dubai" w:cs="Dubai"/>
          <w:b/>
          <w:bCs/>
          <w:color w:val="15335F"/>
          <w:sz w:val="24"/>
          <w:szCs w:val="24"/>
          <w:rtl/>
          <w:lang w:bidi="ar-AE"/>
        </w:rPr>
        <w:t>عن</w:t>
      </w:r>
      <w:r w:rsidRPr="00F618F7">
        <w:rPr>
          <w:rFonts w:ascii="Dubai" w:hAnsi="Dubai" w:cs="Dubai"/>
          <w:b/>
          <w:bCs/>
          <w:color w:val="15335F"/>
          <w:sz w:val="24"/>
          <w:szCs w:val="24"/>
          <w:rtl/>
        </w:rPr>
        <w:t xml:space="preserve"> </w:t>
      </w:r>
      <w:r w:rsidRPr="00F618F7">
        <w:rPr>
          <w:rFonts w:ascii="Dubai" w:hAnsi="Dubai" w:cs="Dubai"/>
          <w:b/>
          <w:bCs/>
          <w:color w:val="15335F"/>
          <w:sz w:val="24"/>
          <w:szCs w:val="24"/>
          <w:rtl/>
          <w:lang w:bidi="ar-AE"/>
        </w:rPr>
        <w:t>مركز</w:t>
      </w:r>
      <w:r w:rsidRPr="00F618F7">
        <w:rPr>
          <w:rFonts w:ascii="Dubai" w:hAnsi="Dubai" w:cs="Dubai"/>
          <w:b/>
          <w:bCs/>
          <w:color w:val="15335F"/>
          <w:sz w:val="24"/>
          <w:szCs w:val="24"/>
          <w:rtl/>
        </w:rPr>
        <w:t xml:space="preserve"> </w:t>
      </w:r>
      <w:r w:rsidRPr="00F618F7">
        <w:rPr>
          <w:rFonts w:ascii="Dubai" w:hAnsi="Dubai" w:cs="Dubai"/>
          <w:b/>
          <w:bCs/>
          <w:color w:val="15335F"/>
          <w:sz w:val="24"/>
          <w:szCs w:val="24"/>
          <w:rtl/>
          <w:lang w:bidi="ar-AE"/>
        </w:rPr>
        <w:t>إدارة</w:t>
      </w:r>
      <w:r w:rsidRPr="00F618F7">
        <w:rPr>
          <w:rFonts w:ascii="Dubai" w:hAnsi="Dubai" w:cs="Dubai"/>
          <w:b/>
          <w:bCs/>
          <w:color w:val="15335F"/>
          <w:sz w:val="24"/>
          <w:szCs w:val="24"/>
          <w:rtl/>
        </w:rPr>
        <w:t xml:space="preserve"> </w:t>
      </w:r>
      <w:r w:rsidRPr="00F618F7">
        <w:rPr>
          <w:rFonts w:ascii="Dubai" w:hAnsi="Dubai" w:cs="Dubai"/>
          <w:b/>
          <w:bCs/>
          <w:color w:val="15335F"/>
          <w:sz w:val="24"/>
          <w:szCs w:val="24"/>
          <w:rtl/>
          <w:lang w:bidi="ar-AE"/>
        </w:rPr>
        <w:t>الطوارئ</w:t>
      </w:r>
      <w:r w:rsidRPr="00F618F7">
        <w:rPr>
          <w:rFonts w:ascii="Dubai" w:hAnsi="Dubai" w:cs="Dubai"/>
          <w:b/>
          <w:bCs/>
          <w:color w:val="15335F"/>
          <w:sz w:val="24"/>
          <w:szCs w:val="24"/>
          <w:rtl/>
        </w:rPr>
        <w:t xml:space="preserve"> </w:t>
      </w:r>
      <w:r w:rsidRPr="00F618F7">
        <w:rPr>
          <w:rFonts w:ascii="Dubai" w:hAnsi="Dubai" w:cs="Dubai"/>
          <w:b/>
          <w:bCs/>
          <w:color w:val="15335F"/>
          <w:sz w:val="24"/>
          <w:szCs w:val="24"/>
          <w:rtl/>
          <w:lang w:bidi="ar-AE"/>
        </w:rPr>
        <w:t>والأزمات</w:t>
      </w:r>
      <w:r w:rsidRPr="00F618F7">
        <w:rPr>
          <w:rFonts w:ascii="Dubai" w:hAnsi="Dubai" w:cs="Dubai"/>
          <w:b/>
          <w:bCs/>
          <w:color w:val="15335F"/>
          <w:sz w:val="24"/>
          <w:szCs w:val="24"/>
          <w:rtl/>
        </w:rPr>
        <w:t xml:space="preserve"> </w:t>
      </w:r>
      <w:r w:rsidRPr="00F618F7">
        <w:rPr>
          <w:rFonts w:ascii="Dubai" w:hAnsi="Dubai" w:cs="Dubai"/>
          <w:b/>
          <w:bCs/>
          <w:color w:val="15335F"/>
          <w:sz w:val="24"/>
          <w:szCs w:val="24"/>
          <w:rtl/>
          <w:lang w:bidi="ar-AE"/>
        </w:rPr>
        <w:t>والكوارث</w:t>
      </w:r>
      <w:r w:rsidRPr="00F618F7">
        <w:rPr>
          <w:rFonts w:ascii="Dubai" w:hAnsi="Dubai" w:cs="Dubai"/>
          <w:b/>
          <w:bCs/>
          <w:color w:val="15335F"/>
          <w:sz w:val="24"/>
          <w:szCs w:val="24"/>
          <w:rtl/>
        </w:rPr>
        <w:t xml:space="preserve"> </w:t>
      </w:r>
      <w:r w:rsidRPr="00F618F7">
        <w:rPr>
          <w:rFonts w:ascii="Dubai" w:hAnsi="Dubai" w:cs="Dubai"/>
          <w:b/>
          <w:bCs/>
          <w:color w:val="15335F"/>
          <w:sz w:val="24"/>
          <w:szCs w:val="24"/>
          <w:rtl/>
          <w:lang w:bidi="ar-AE"/>
        </w:rPr>
        <w:t>لإمارة</w:t>
      </w:r>
      <w:r w:rsidRPr="00F618F7">
        <w:rPr>
          <w:rFonts w:ascii="Dubai" w:hAnsi="Dubai" w:cs="Dubai"/>
          <w:b/>
          <w:bCs/>
          <w:color w:val="15335F"/>
          <w:sz w:val="24"/>
          <w:szCs w:val="24"/>
          <w:rtl/>
        </w:rPr>
        <w:t xml:space="preserve"> </w:t>
      </w:r>
      <w:r w:rsidRPr="00F618F7">
        <w:rPr>
          <w:rFonts w:ascii="Dubai" w:hAnsi="Dubai" w:cs="Dubai"/>
          <w:b/>
          <w:bCs/>
          <w:color w:val="15335F"/>
          <w:sz w:val="24"/>
          <w:szCs w:val="24"/>
          <w:rtl/>
          <w:lang w:bidi="ar-AE"/>
        </w:rPr>
        <w:t>أبوظبي</w:t>
      </w:r>
      <w:r w:rsidRPr="00F618F7">
        <w:rPr>
          <w:rFonts w:ascii="Dubai" w:hAnsi="Dubai" w:cs="Dubai"/>
          <w:b/>
          <w:bCs/>
          <w:color w:val="15335F"/>
          <w:sz w:val="24"/>
          <w:szCs w:val="24"/>
          <w:rtl/>
        </w:rPr>
        <w:t>:</w:t>
      </w:r>
    </w:p>
    <w:p w14:paraId="5880F16F" w14:textId="77777777" w:rsidR="00445264" w:rsidRPr="00F618F7" w:rsidRDefault="00445264" w:rsidP="00445264">
      <w:pPr>
        <w:bidi/>
        <w:spacing w:after="0"/>
        <w:jc w:val="both"/>
        <w:rPr>
          <w:rFonts w:ascii="Dubai" w:hAnsi="Dubai" w:cs="Dubai"/>
          <w:b/>
          <w:bCs/>
          <w:color w:val="15335F"/>
          <w:sz w:val="24"/>
          <w:szCs w:val="24"/>
          <w:rtl/>
          <w:lang w:bidi="ar-AE"/>
        </w:rPr>
      </w:pPr>
      <w:r w:rsidRPr="00F618F7">
        <w:rPr>
          <w:rFonts w:ascii="Dubai" w:hAnsi="Dubai" w:cs="Dubai"/>
          <w:color w:val="15335F"/>
          <w:sz w:val="24"/>
          <w:szCs w:val="24"/>
          <w:rtl/>
          <w:lang w:bidi="ar-AE"/>
        </w:rPr>
        <w:t>تأسس مركز إدارة الطوارئ والأزمات والكوارث لإمارة أبوظبي عام 2019 وفق القانون رقم (22) الصادر عن المغفور له</w:t>
      </w:r>
      <w:r w:rsidRPr="00F618F7">
        <w:rPr>
          <w:rFonts w:ascii="Dubai" w:hAnsi="Dubai" w:cs="Dubai"/>
          <w:b/>
          <w:bCs/>
          <w:color w:val="15335F"/>
          <w:sz w:val="24"/>
          <w:szCs w:val="24"/>
          <w:rtl/>
          <w:lang w:bidi="ar-AE"/>
        </w:rPr>
        <w:t xml:space="preserve"> </w:t>
      </w:r>
      <w:r w:rsidRPr="00F618F7">
        <w:rPr>
          <w:rFonts w:ascii="Dubai" w:hAnsi="Dubai" w:cs="Dubai"/>
          <w:color w:val="15335F"/>
          <w:sz w:val="24"/>
          <w:szCs w:val="24"/>
          <w:rtl/>
          <w:lang w:bidi="ar-AE"/>
        </w:rPr>
        <w:t>بإذن</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الله</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صاحب</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السمو</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الشيخ</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خليفة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بن</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زايد</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آل</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نهيان</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طيب</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الله</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ثراه</w:t>
      </w:r>
      <w:r w:rsidRPr="00F618F7">
        <w:rPr>
          <w:rFonts w:ascii="Dubai" w:hAnsi="Dubai" w:cs="Dubai"/>
          <w:color w:val="15335F"/>
          <w:sz w:val="24"/>
          <w:szCs w:val="24"/>
          <w:rtl/>
        </w:rPr>
        <w:t>)</w:t>
      </w:r>
      <w:r w:rsidRPr="00F618F7">
        <w:rPr>
          <w:rFonts w:ascii="Dubai" w:hAnsi="Dubai" w:cs="Dubai"/>
          <w:b/>
          <w:bCs/>
          <w:color w:val="15335F"/>
          <w:sz w:val="24"/>
          <w:szCs w:val="24"/>
          <w:rtl/>
          <w:lang w:bidi="ar-AE"/>
        </w:rPr>
        <w:t xml:space="preserve">. </w:t>
      </w:r>
      <w:r w:rsidRPr="00F618F7">
        <w:rPr>
          <w:rFonts w:ascii="Dubai" w:hAnsi="Dubai" w:cs="Dubai"/>
          <w:color w:val="15335F"/>
          <w:sz w:val="24"/>
          <w:szCs w:val="24"/>
          <w:rtl/>
          <w:lang w:bidi="ar-AE"/>
        </w:rPr>
        <w:t>ويهدف</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هذا</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القانون</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إلى</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تعزيز</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جاهزية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الإمارة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في</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مواجهة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الطوارئ</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والأزمات</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والكوارث،</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حيث</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يتولى</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المركز</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إعداد</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السياسة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العامة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والاستراتيجيات</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والخطط</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المتعلقة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بإدارة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الطوارئ</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والأزمات</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والكوارث،</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وإجراء</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الدراسات</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والزيارات</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الميدانية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وعمليات</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التدقيق</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والتقييم</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للتأكد</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من</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قدرة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مختلف</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الجهات</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على</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مواجهة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التحديات</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ذات</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الصلة،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وتمكينها</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من</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التعافي</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بسرعة،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إلى</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جانب</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دوره</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الفعال</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في</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تعزيز</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تبادل</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الخبرات،</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والتنسيق</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مع</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الشركاء</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والجهات</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المعنية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اعتماداً</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على</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منظومته</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الرائدة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لجعل</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إمارة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أبوظبي</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أكثر</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قدرة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على</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مواجهة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الطوارئ</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والأزمات</w:t>
      </w:r>
      <w:r w:rsidRPr="00F618F7">
        <w:rPr>
          <w:rFonts w:ascii="Dubai" w:hAnsi="Dubai" w:cs="Dubai"/>
          <w:color w:val="15335F"/>
          <w:sz w:val="24"/>
          <w:szCs w:val="24"/>
          <w:rtl/>
        </w:rPr>
        <w:t>.</w:t>
      </w:r>
    </w:p>
    <w:p w14:paraId="65BB03FE" w14:textId="77777777" w:rsidR="00445264" w:rsidRPr="00F618F7" w:rsidRDefault="00445264" w:rsidP="00445264">
      <w:pPr>
        <w:bidi/>
        <w:spacing w:after="0"/>
        <w:jc w:val="both"/>
        <w:rPr>
          <w:rFonts w:ascii="Dubai" w:hAnsi="Dubai" w:cs="Dubai"/>
          <w:color w:val="15335F"/>
          <w:sz w:val="24"/>
          <w:szCs w:val="24"/>
          <w:rtl/>
        </w:rPr>
      </w:pPr>
    </w:p>
    <w:p w14:paraId="52950ADA" w14:textId="77777777" w:rsidR="00445264" w:rsidRPr="00F618F7" w:rsidRDefault="00445264" w:rsidP="00445264">
      <w:pPr>
        <w:bidi/>
        <w:spacing w:after="0"/>
        <w:jc w:val="both"/>
        <w:rPr>
          <w:rFonts w:ascii="Dubai" w:hAnsi="Dubai" w:cs="Dubai"/>
          <w:color w:val="15335F"/>
          <w:sz w:val="24"/>
          <w:szCs w:val="24"/>
          <w:rtl/>
        </w:rPr>
      </w:pPr>
      <w:r w:rsidRPr="00F618F7">
        <w:rPr>
          <w:rFonts w:ascii="Dubai" w:hAnsi="Dubai" w:cs="Dubai"/>
          <w:b/>
          <w:bCs/>
          <w:color w:val="15335F"/>
          <w:sz w:val="24"/>
          <w:szCs w:val="24"/>
          <w:rtl/>
          <w:lang w:bidi="ar-AE"/>
        </w:rPr>
        <w:t>الرؤية</w:t>
      </w:r>
      <w:r w:rsidRPr="00F618F7">
        <w:rPr>
          <w:rFonts w:ascii="Dubai" w:hAnsi="Dubai" w:cs="Dubai"/>
          <w:b/>
          <w:bCs/>
          <w:color w:val="15335F"/>
          <w:sz w:val="24"/>
          <w:szCs w:val="24"/>
          <w:rtl/>
        </w:rPr>
        <w:t>:</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تعزيز</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الجاهزية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للأزمات</w:t>
      </w:r>
      <w:r w:rsidRPr="00F618F7">
        <w:rPr>
          <w:rFonts w:ascii="Dubai" w:hAnsi="Dubai" w:cs="Dubai"/>
          <w:color w:val="15335F"/>
          <w:sz w:val="24"/>
          <w:szCs w:val="24"/>
          <w:rtl/>
        </w:rPr>
        <w:t>.</w:t>
      </w:r>
    </w:p>
    <w:p w14:paraId="3ACE3665" w14:textId="77777777" w:rsidR="00445264" w:rsidRPr="00F618F7" w:rsidRDefault="00445264" w:rsidP="00445264">
      <w:pPr>
        <w:bidi/>
        <w:spacing w:after="0"/>
        <w:jc w:val="both"/>
        <w:rPr>
          <w:rFonts w:ascii="Dubai" w:hAnsi="Dubai" w:cs="Dubai"/>
          <w:color w:val="15335F"/>
          <w:sz w:val="24"/>
          <w:szCs w:val="24"/>
          <w:rtl/>
        </w:rPr>
      </w:pPr>
    </w:p>
    <w:p w14:paraId="14099B6F" w14:textId="77777777" w:rsidR="00445264" w:rsidRPr="00F618F7" w:rsidRDefault="00445264" w:rsidP="00445264">
      <w:pPr>
        <w:bidi/>
        <w:spacing w:after="0"/>
        <w:jc w:val="both"/>
        <w:rPr>
          <w:rFonts w:ascii="Dubai" w:hAnsi="Dubai" w:cs="Dubai"/>
          <w:color w:val="15335F"/>
          <w:sz w:val="24"/>
          <w:szCs w:val="24"/>
          <w:rtl/>
        </w:rPr>
      </w:pPr>
      <w:r w:rsidRPr="00F618F7">
        <w:rPr>
          <w:rFonts w:ascii="Dubai" w:hAnsi="Dubai" w:cs="Dubai"/>
          <w:b/>
          <w:bCs/>
          <w:color w:val="15335F"/>
          <w:sz w:val="24"/>
          <w:szCs w:val="24"/>
          <w:rtl/>
          <w:lang w:bidi="ar-AE"/>
        </w:rPr>
        <w:t>الرسالة</w:t>
      </w:r>
      <w:r w:rsidRPr="00F618F7">
        <w:rPr>
          <w:rFonts w:ascii="Dubai" w:hAnsi="Dubai" w:cs="Dubai"/>
          <w:b/>
          <w:bCs/>
          <w:color w:val="15335F"/>
          <w:sz w:val="24"/>
          <w:szCs w:val="24"/>
          <w:rtl/>
        </w:rPr>
        <w:t>:</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العمل</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على</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تطوير</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منظومة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إدارة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الطوارئ</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والأزمات</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من</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خلال</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التنسيق</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مع</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مختلف</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الجهات</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لبناء</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وتطوير</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القدرات</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والكفاءات،</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والاستفادة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من</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أحدث</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التقنيات</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لترسيخ</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مكانة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أبوظبي</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الأفضل</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استجابة</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للطوارئ</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والأزمات</w:t>
      </w:r>
      <w:r w:rsidRPr="00F618F7">
        <w:rPr>
          <w:rFonts w:ascii="Dubai" w:hAnsi="Dubai" w:cs="Dubai"/>
          <w:color w:val="15335F"/>
          <w:sz w:val="24"/>
          <w:szCs w:val="24"/>
          <w:rtl/>
        </w:rPr>
        <w:t>.</w:t>
      </w:r>
    </w:p>
    <w:p w14:paraId="4F9CA387" w14:textId="77777777" w:rsidR="00445264" w:rsidRPr="00F618F7" w:rsidRDefault="00445264" w:rsidP="00445264">
      <w:pPr>
        <w:bidi/>
        <w:spacing w:after="0"/>
        <w:jc w:val="both"/>
        <w:rPr>
          <w:rFonts w:ascii="Dubai" w:hAnsi="Dubai" w:cs="Dubai"/>
          <w:color w:val="15335F"/>
          <w:sz w:val="24"/>
          <w:szCs w:val="24"/>
          <w:rtl/>
        </w:rPr>
      </w:pPr>
    </w:p>
    <w:p w14:paraId="473A4058" w14:textId="77777777" w:rsidR="00445264" w:rsidRPr="00F618F7" w:rsidRDefault="00445264" w:rsidP="00445264">
      <w:pPr>
        <w:bidi/>
        <w:spacing w:after="0"/>
        <w:jc w:val="both"/>
        <w:rPr>
          <w:rFonts w:ascii="Dubai" w:hAnsi="Dubai" w:cs="Dubai"/>
          <w:b/>
          <w:bCs/>
          <w:color w:val="15335F"/>
          <w:sz w:val="24"/>
          <w:szCs w:val="24"/>
          <w:rtl/>
          <w:lang w:bidi="ar-AE"/>
        </w:rPr>
      </w:pPr>
      <w:r w:rsidRPr="00F618F7">
        <w:rPr>
          <w:rFonts w:ascii="Dubai" w:hAnsi="Dubai" w:cs="Dubai"/>
          <w:b/>
          <w:bCs/>
          <w:color w:val="15335F"/>
          <w:sz w:val="24"/>
          <w:szCs w:val="24"/>
          <w:rtl/>
          <w:lang w:bidi="ar-AE"/>
        </w:rPr>
        <w:t xml:space="preserve">الأولويات الاستراتيجية: </w:t>
      </w:r>
    </w:p>
    <w:p w14:paraId="20C342B1" w14:textId="77777777" w:rsidR="00445264" w:rsidRPr="00F618F7" w:rsidRDefault="00445264" w:rsidP="00445264">
      <w:pPr>
        <w:numPr>
          <w:ilvl w:val="0"/>
          <w:numId w:val="3"/>
        </w:numPr>
        <w:bidi/>
        <w:spacing w:after="0" w:line="259" w:lineRule="auto"/>
        <w:jc w:val="both"/>
        <w:rPr>
          <w:rFonts w:ascii="Dubai" w:hAnsi="Dubai" w:cs="Dubai"/>
          <w:color w:val="15335F"/>
          <w:sz w:val="24"/>
          <w:szCs w:val="24"/>
          <w:lang w:bidi="ar-AE"/>
        </w:rPr>
      </w:pPr>
      <w:r w:rsidRPr="00F618F7">
        <w:rPr>
          <w:rFonts w:ascii="Dubai" w:hAnsi="Dubai" w:cs="Dubai"/>
          <w:color w:val="15335F"/>
          <w:sz w:val="24"/>
          <w:szCs w:val="24"/>
          <w:rtl/>
          <w:lang w:bidi="ar-AE"/>
        </w:rPr>
        <w:t>ضمان جاهزية إمارة أبو ظبي في حالات الطوارئ والأزمات.</w:t>
      </w:r>
    </w:p>
    <w:p w14:paraId="7DE24827" w14:textId="77777777" w:rsidR="00445264" w:rsidRPr="00F618F7" w:rsidRDefault="00445264" w:rsidP="00445264">
      <w:pPr>
        <w:numPr>
          <w:ilvl w:val="0"/>
          <w:numId w:val="3"/>
        </w:numPr>
        <w:bidi/>
        <w:spacing w:after="0" w:line="259" w:lineRule="auto"/>
        <w:jc w:val="both"/>
        <w:rPr>
          <w:rFonts w:ascii="Dubai" w:hAnsi="Dubai" w:cs="Dubai"/>
          <w:color w:val="15335F"/>
          <w:sz w:val="24"/>
          <w:szCs w:val="24"/>
          <w:lang w:bidi="ar-AE"/>
        </w:rPr>
      </w:pPr>
      <w:r w:rsidRPr="00F618F7">
        <w:rPr>
          <w:rFonts w:ascii="Dubai" w:hAnsi="Dubai" w:cs="Dubai"/>
          <w:color w:val="15335F"/>
          <w:sz w:val="24"/>
          <w:szCs w:val="24"/>
          <w:rtl/>
          <w:lang w:bidi="ar-AE"/>
        </w:rPr>
        <w:t>التنسيق المتكامل مع الجهات المعنية ورفع مستوى الوعي.</w:t>
      </w:r>
    </w:p>
    <w:p w14:paraId="6CF707C9" w14:textId="77777777" w:rsidR="00445264" w:rsidRPr="00F618F7" w:rsidRDefault="00445264" w:rsidP="00445264">
      <w:pPr>
        <w:numPr>
          <w:ilvl w:val="0"/>
          <w:numId w:val="3"/>
        </w:numPr>
        <w:bidi/>
        <w:spacing w:after="0" w:line="259" w:lineRule="auto"/>
        <w:jc w:val="both"/>
        <w:rPr>
          <w:rFonts w:ascii="Dubai" w:hAnsi="Dubai" w:cs="Dubai"/>
          <w:color w:val="15335F"/>
          <w:sz w:val="24"/>
          <w:szCs w:val="24"/>
          <w:lang w:bidi="ar-AE"/>
        </w:rPr>
      </w:pPr>
      <w:r w:rsidRPr="00F618F7">
        <w:rPr>
          <w:rFonts w:ascii="Dubai" w:hAnsi="Dubai" w:cs="Dubai"/>
          <w:color w:val="15335F"/>
          <w:sz w:val="24"/>
          <w:szCs w:val="24"/>
          <w:rtl/>
          <w:lang w:bidi="ar-AE"/>
        </w:rPr>
        <w:t>تنمية القدرات.</w:t>
      </w:r>
    </w:p>
    <w:p w14:paraId="5BF2A187" w14:textId="77777777" w:rsidR="00445264" w:rsidRPr="00F618F7" w:rsidRDefault="00445264" w:rsidP="00445264">
      <w:pPr>
        <w:bidi/>
        <w:jc w:val="both"/>
        <w:rPr>
          <w:rFonts w:ascii="Dubai" w:hAnsi="Dubai" w:cs="Dubai"/>
          <w:color w:val="15335F"/>
          <w:sz w:val="24"/>
          <w:szCs w:val="24"/>
          <w:rtl/>
        </w:rPr>
      </w:pPr>
    </w:p>
    <w:p w14:paraId="062BAD76" w14:textId="77777777" w:rsidR="00445264" w:rsidRPr="00F618F7" w:rsidRDefault="00445264" w:rsidP="00445264">
      <w:pPr>
        <w:bidi/>
        <w:jc w:val="both"/>
        <w:rPr>
          <w:rFonts w:ascii="Dubai" w:hAnsi="Dubai" w:cs="Dubai"/>
          <w:b/>
          <w:bCs/>
          <w:color w:val="15335F"/>
          <w:sz w:val="24"/>
          <w:szCs w:val="24"/>
          <w:rtl/>
          <w:lang w:bidi="ar-AE"/>
        </w:rPr>
      </w:pPr>
      <w:r w:rsidRPr="00F618F7">
        <w:rPr>
          <w:rFonts w:ascii="Dubai" w:hAnsi="Dubai" w:cs="Dubai"/>
          <w:b/>
          <w:bCs/>
          <w:color w:val="15335F"/>
          <w:sz w:val="24"/>
          <w:szCs w:val="24"/>
          <w:rtl/>
          <w:lang w:bidi="ar-AE"/>
        </w:rPr>
        <w:t>آلية التواصل:</w:t>
      </w:r>
    </w:p>
    <w:p w14:paraId="54AA2D2E" w14:textId="77777777" w:rsidR="00445264" w:rsidRPr="00F618F7" w:rsidRDefault="00445264" w:rsidP="00445264">
      <w:pPr>
        <w:numPr>
          <w:ilvl w:val="0"/>
          <w:numId w:val="3"/>
        </w:numPr>
        <w:bidi/>
        <w:spacing w:after="0" w:line="259" w:lineRule="auto"/>
        <w:jc w:val="both"/>
        <w:rPr>
          <w:rFonts w:ascii="Dubai" w:hAnsi="Dubai" w:cs="Dubai"/>
          <w:color w:val="15335F"/>
          <w:sz w:val="24"/>
          <w:szCs w:val="24"/>
          <w:rtl/>
        </w:rPr>
      </w:pPr>
      <w:r w:rsidRPr="00F618F7">
        <w:rPr>
          <w:rFonts w:ascii="Dubai" w:hAnsi="Dubai" w:cs="Dubai"/>
          <w:color w:val="15335F"/>
          <w:sz w:val="24"/>
          <w:szCs w:val="24"/>
          <w:rtl/>
          <w:lang w:bidi="ar-AE"/>
        </w:rPr>
        <w:t>الاعلام: عبر</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البريد</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الالكتروني</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التابع</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لقسم</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التنسيق</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والعلاقات</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العامة</w:t>
      </w:r>
      <w:r w:rsidRPr="00F618F7">
        <w:rPr>
          <w:rFonts w:ascii="Dubai" w:hAnsi="Dubai" w:cs="Dubai"/>
          <w:color w:val="15335F"/>
          <w:sz w:val="24"/>
          <w:szCs w:val="24"/>
          <w:rtl/>
        </w:rPr>
        <w:t xml:space="preserve">: </w:t>
      </w:r>
      <w:hyperlink r:id="rId8" w:history="1">
        <w:r w:rsidRPr="00F618F7">
          <w:rPr>
            <w:rFonts w:ascii="Dubai" w:hAnsi="Dubai" w:cs="Dubai"/>
            <w:color w:val="15335F"/>
            <w:sz w:val="24"/>
            <w:szCs w:val="24"/>
          </w:rPr>
          <w:t>grc@adcmc.gov.ae</w:t>
        </w:r>
      </w:hyperlink>
      <w:r w:rsidRPr="00F618F7">
        <w:rPr>
          <w:rFonts w:ascii="Dubai" w:hAnsi="Dubai" w:cs="Dubai"/>
          <w:color w:val="15335F"/>
          <w:sz w:val="24"/>
          <w:szCs w:val="24"/>
          <w:rtl/>
        </w:rPr>
        <w:t xml:space="preserve"> </w:t>
      </w:r>
    </w:p>
    <w:p w14:paraId="1F942916" w14:textId="77777777" w:rsidR="00445264" w:rsidRPr="00F618F7" w:rsidRDefault="00445264" w:rsidP="00445264">
      <w:pPr>
        <w:numPr>
          <w:ilvl w:val="0"/>
          <w:numId w:val="3"/>
        </w:numPr>
        <w:bidi/>
        <w:spacing w:after="0" w:line="259" w:lineRule="auto"/>
        <w:jc w:val="both"/>
        <w:rPr>
          <w:rFonts w:ascii="Dubai" w:hAnsi="Dubai" w:cs="Dubai"/>
          <w:color w:val="15335F"/>
          <w:sz w:val="24"/>
          <w:szCs w:val="24"/>
        </w:rPr>
      </w:pPr>
      <w:r w:rsidRPr="00F618F7">
        <w:rPr>
          <w:rFonts w:ascii="Dubai" w:hAnsi="Dubai" w:cs="Dubai"/>
          <w:color w:val="15335F"/>
          <w:sz w:val="24"/>
          <w:szCs w:val="24"/>
          <w:rtl/>
          <w:lang w:bidi="ar-AE"/>
        </w:rPr>
        <w:t>المواضيع</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العامة: عبر البريد الالكتروني التابع</w:t>
      </w:r>
      <w:r w:rsidRPr="00F618F7">
        <w:rPr>
          <w:rFonts w:ascii="Dubai" w:hAnsi="Dubai" w:cs="Dubai"/>
          <w:color w:val="15335F"/>
          <w:sz w:val="24"/>
          <w:szCs w:val="24"/>
          <w:rtl/>
        </w:rPr>
        <w:t xml:space="preserve"> </w:t>
      </w:r>
      <w:r w:rsidRPr="00F618F7">
        <w:rPr>
          <w:rFonts w:ascii="Dubai" w:hAnsi="Dubai" w:cs="Dubai"/>
          <w:color w:val="15335F"/>
          <w:sz w:val="24"/>
          <w:szCs w:val="24"/>
          <w:rtl/>
          <w:lang w:bidi="ar-AE"/>
        </w:rPr>
        <w:t>للمركز</w:t>
      </w:r>
      <w:r w:rsidRPr="00F618F7">
        <w:rPr>
          <w:rFonts w:ascii="Dubai" w:hAnsi="Dubai" w:cs="Dubai"/>
          <w:color w:val="15335F"/>
          <w:sz w:val="24"/>
          <w:szCs w:val="24"/>
          <w:rtl/>
        </w:rPr>
        <w:t xml:space="preserve"> </w:t>
      </w:r>
      <w:hyperlink r:id="rId9" w:history="1">
        <w:r w:rsidRPr="00F618F7">
          <w:rPr>
            <w:rFonts w:ascii="Dubai" w:hAnsi="Dubai" w:cs="Dubai"/>
            <w:color w:val="15335F"/>
            <w:sz w:val="24"/>
            <w:szCs w:val="24"/>
          </w:rPr>
          <w:t>info@adcmc.gov.ae</w:t>
        </w:r>
      </w:hyperlink>
      <w:r w:rsidRPr="00F618F7">
        <w:rPr>
          <w:rFonts w:ascii="Dubai" w:hAnsi="Dubai" w:cs="Dubai"/>
          <w:color w:val="15335F"/>
          <w:sz w:val="24"/>
          <w:szCs w:val="24"/>
        </w:rPr>
        <w:t xml:space="preserve"> </w:t>
      </w:r>
    </w:p>
    <w:p w14:paraId="11F8EFA3" w14:textId="77777777" w:rsidR="00445264" w:rsidRDefault="00445264" w:rsidP="00445264">
      <w:pPr>
        <w:tabs>
          <w:tab w:val="left" w:pos="5769"/>
        </w:tabs>
        <w:bidi/>
        <w:spacing w:after="0" w:line="360" w:lineRule="auto"/>
        <w:jc w:val="both"/>
        <w:rPr>
          <w:rFonts w:ascii="Dubai" w:hAnsi="Dubai" w:cs="Dubai"/>
          <w:color w:val="15335F"/>
          <w:sz w:val="24"/>
          <w:szCs w:val="24"/>
          <w:lang w:bidi="ar-SA"/>
        </w:rPr>
      </w:pPr>
      <w:r w:rsidRPr="00F618F7">
        <w:rPr>
          <w:rFonts w:ascii="Dubai" w:hAnsi="Dubai" w:cs="Dubai"/>
          <w:color w:val="15335F"/>
          <w:sz w:val="24"/>
          <w:szCs w:val="24"/>
          <w:rtl/>
          <w:lang w:bidi="ar-SA"/>
        </w:rPr>
        <w:t xml:space="preserve"> </w:t>
      </w:r>
    </w:p>
    <w:p w14:paraId="75482559" w14:textId="77777777" w:rsidR="00F618F7" w:rsidRPr="00F618F7" w:rsidRDefault="00F618F7" w:rsidP="00F618F7">
      <w:pPr>
        <w:tabs>
          <w:tab w:val="left" w:pos="5769"/>
        </w:tabs>
        <w:bidi/>
        <w:spacing w:after="0" w:line="360" w:lineRule="auto"/>
        <w:jc w:val="both"/>
        <w:rPr>
          <w:rFonts w:ascii="Dubai" w:hAnsi="Dubai" w:cs="Dubai"/>
          <w:b/>
          <w:bCs/>
          <w:color w:val="15335F"/>
          <w:sz w:val="24"/>
          <w:szCs w:val="24"/>
          <w:rtl/>
        </w:rPr>
      </w:pPr>
      <w:r w:rsidRPr="00F618F7">
        <w:rPr>
          <w:rFonts w:ascii="Dubai" w:hAnsi="Dubai" w:cs="Dubai"/>
          <w:b/>
          <w:bCs/>
          <w:color w:val="15335F"/>
          <w:sz w:val="24"/>
          <w:szCs w:val="24"/>
          <w:rtl/>
          <w:lang w:bidi="ar-SA"/>
        </w:rPr>
        <w:t>نبذة عن الصندوق العالمي للحد من الكوارث والتعافي</w:t>
      </w:r>
      <w:r w:rsidRPr="00F618F7">
        <w:rPr>
          <w:rFonts w:ascii="Dubai" w:hAnsi="Dubai" w:cs="Dubai"/>
          <w:b/>
          <w:bCs/>
          <w:color w:val="15335F"/>
          <w:sz w:val="24"/>
          <w:szCs w:val="24"/>
          <w:lang w:bidi="ar-SA"/>
        </w:rPr>
        <w:t xml:space="preserve"> (</w:t>
      </w:r>
      <w:r w:rsidRPr="00F618F7">
        <w:rPr>
          <w:rFonts w:ascii="Dubai" w:hAnsi="Dubai" w:cs="Dubai"/>
          <w:b/>
          <w:bCs/>
          <w:color w:val="15335F"/>
          <w:sz w:val="24"/>
          <w:szCs w:val="24"/>
        </w:rPr>
        <w:t>GFDRR</w:t>
      </w:r>
      <w:r w:rsidRPr="00F618F7">
        <w:rPr>
          <w:rFonts w:ascii="Dubai" w:hAnsi="Dubai" w:cs="Dubai"/>
          <w:b/>
          <w:bCs/>
          <w:color w:val="15335F"/>
          <w:sz w:val="24"/>
          <w:szCs w:val="24"/>
          <w:lang w:bidi="ar-SA"/>
        </w:rPr>
        <w:t>):</w:t>
      </w:r>
    </w:p>
    <w:p w14:paraId="05A26215" w14:textId="6BCDB5C6" w:rsidR="00F618F7" w:rsidRPr="00F618F7" w:rsidRDefault="00F618F7" w:rsidP="00F618F7">
      <w:pPr>
        <w:tabs>
          <w:tab w:val="left" w:pos="5769"/>
        </w:tabs>
        <w:bidi/>
        <w:spacing w:after="0" w:line="360" w:lineRule="auto"/>
        <w:jc w:val="both"/>
        <w:rPr>
          <w:rFonts w:ascii="Dubai" w:hAnsi="Dubai" w:cs="Dubai"/>
          <w:color w:val="15335F"/>
          <w:sz w:val="24"/>
          <w:szCs w:val="24"/>
          <w:rtl/>
          <w:lang w:bidi="ar-SA"/>
        </w:rPr>
      </w:pPr>
      <w:r w:rsidRPr="00F618F7">
        <w:rPr>
          <w:rFonts w:ascii="Dubai" w:hAnsi="Dubai" w:cs="Dubai"/>
          <w:color w:val="15335F"/>
          <w:sz w:val="24"/>
          <w:szCs w:val="24"/>
          <w:rtl/>
          <w:lang w:bidi="ar-SA"/>
        </w:rPr>
        <w:t xml:space="preserve">يتبع الصندوق لمجموعة البنك الدولي، وتتمثل مهمته في مساعدة الدول ذات الدخل المحدود أو الأدنى من المتوسط على فهم نقاط التحسين تجاه المخاطر الطبيعية والحد منها بشكل أفضل والتكيف مع تغير المناخ. ويقدم الصندوق </w:t>
      </w:r>
      <w:r w:rsidRPr="00F618F7">
        <w:rPr>
          <w:rFonts w:ascii="Dubai" w:hAnsi="Dubai" w:cs="Dubai"/>
          <w:color w:val="15335F"/>
          <w:sz w:val="24"/>
          <w:szCs w:val="24"/>
          <w:rtl/>
          <w:lang w:bidi="ar-SA"/>
        </w:rPr>
        <w:lastRenderedPageBreak/>
        <w:t>تمويلاً على شكل منح ومساعدات فنية وتدريبات وأنشطة لتبادل المعرفة من أجل دمج إدارة مخاطر الكوارث والمناخ في السياسات والاستراتيجيات وخطط الاستثمار الوطنية والإقليمية. وتتولى وحدة إدارة البرامج ومقرها داخل البنك الدولي إدارة موارد المنح لتنفيذ مهمة الصندوق.</w:t>
      </w:r>
    </w:p>
    <w:p w14:paraId="160DEE00" w14:textId="77777777" w:rsidR="00445264" w:rsidRPr="00F618F7" w:rsidRDefault="00445264" w:rsidP="00445264">
      <w:pPr>
        <w:tabs>
          <w:tab w:val="left" w:pos="5769"/>
        </w:tabs>
        <w:bidi/>
        <w:spacing w:after="0" w:line="360" w:lineRule="auto"/>
        <w:jc w:val="both"/>
        <w:rPr>
          <w:rFonts w:ascii="Dubai" w:hAnsi="Dubai" w:cs="Dubai"/>
          <w:color w:val="15335F"/>
          <w:sz w:val="24"/>
          <w:szCs w:val="24"/>
          <w:lang w:bidi="ar-SA"/>
        </w:rPr>
      </w:pPr>
    </w:p>
    <w:p w14:paraId="7AD2FF70" w14:textId="77777777" w:rsidR="00445264" w:rsidRPr="00F618F7" w:rsidRDefault="00445264" w:rsidP="00445264">
      <w:pPr>
        <w:bidi/>
        <w:rPr>
          <w:rFonts w:ascii="Dubai" w:hAnsi="Dubai" w:cs="Dubai"/>
          <w:color w:val="15335F"/>
          <w:sz w:val="24"/>
          <w:szCs w:val="24"/>
          <w:lang w:bidi="ar-AE"/>
        </w:rPr>
      </w:pPr>
    </w:p>
    <w:sectPr w:rsidR="00445264" w:rsidRPr="00F618F7" w:rsidSect="00C92F18">
      <w:headerReference w:type="default" r:id="rId10"/>
      <w:footerReference w:type="even" r:id="rId11"/>
      <w:footerReference w:type="default" r:id="rId12"/>
      <w:footerReference w:type="first" r:id="rId13"/>
      <w:pgSz w:w="11900" w:h="16840"/>
      <w:pgMar w:top="1985" w:right="1077" w:bottom="1985"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0CA5B" w14:textId="77777777" w:rsidR="00457467" w:rsidRDefault="00457467" w:rsidP="006F5F6D">
      <w:pPr>
        <w:spacing w:after="0" w:line="240" w:lineRule="auto"/>
      </w:pPr>
      <w:r>
        <w:separator/>
      </w:r>
    </w:p>
  </w:endnote>
  <w:endnote w:type="continuationSeparator" w:id="0">
    <w:p w14:paraId="17FA34D9" w14:textId="77777777" w:rsidR="00457467" w:rsidRDefault="00457467" w:rsidP="006F5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C4EF" w14:textId="6671F951" w:rsidR="00A03BF6" w:rsidRDefault="00A03BF6">
    <w:pPr>
      <w:pStyle w:val="Footer"/>
    </w:pPr>
    <w:r>
      <w:rPr>
        <w:noProof/>
        <w14:ligatures w14:val="standardContextual"/>
      </w:rPr>
      <mc:AlternateContent>
        <mc:Choice Requires="wps">
          <w:drawing>
            <wp:anchor distT="0" distB="0" distL="0" distR="0" simplePos="0" relativeHeight="251662336" behindDoc="0" locked="0" layoutInCell="1" allowOverlap="1" wp14:anchorId="3D7698C7" wp14:editId="2A2769E3">
              <wp:simplePos x="635" y="635"/>
              <wp:positionH relativeFrom="page">
                <wp:align>left</wp:align>
              </wp:positionH>
              <wp:positionV relativeFrom="page">
                <wp:align>bottom</wp:align>
              </wp:positionV>
              <wp:extent cx="1578610" cy="368935"/>
              <wp:effectExtent l="0" t="0" r="2540" b="0"/>
              <wp:wrapNone/>
              <wp:docPr id="1199488153" name="Text Box 2" descr="CONFIDENTIAL |   خصوص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8610" cy="368935"/>
                      </a:xfrm>
                      <a:prstGeom prst="rect">
                        <a:avLst/>
                      </a:prstGeom>
                      <a:noFill/>
                      <a:ln>
                        <a:noFill/>
                      </a:ln>
                    </wps:spPr>
                    <wps:txbx>
                      <w:txbxContent>
                        <w:p w14:paraId="10079F27" w14:textId="0F715FE1" w:rsidR="00A03BF6" w:rsidRPr="00A03BF6" w:rsidRDefault="00A03BF6" w:rsidP="00A03BF6">
                          <w:pPr>
                            <w:spacing w:after="0"/>
                            <w:rPr>
                              <w:rFonts w:ascii="Calibri" w:eastAsia="Calibri" w:hAnsi="Calibri" w:cs="Calibri"/>
                              <w:noProof/>
                              <w:color w:val="0071BD"/>
                            </w:rPr>
                          </w:pPr>
                          <w:r w:rsidRPr="00A03BF6">
                            <w:rPr>
                              <w:rFonts w:ascii="Calibri" w:eastAsia="Calibri" w:hAnsi="Calibri" w:cs="Calibri"/>
                              <w:noProof/>
                              <w:color w:val="0071BD"/>
                            </w:rPr>
                            <w:t xml:space="preserve">CONFIDENTIAL |   </w:t>
                          </w:r>
                          <w:r w:rsidRPr="00A03BF6">
                            <w:rPr>
                              <w:rFonts w:ascii="Calibri" w:eastAsia="Calibri" w:hAnsi="Calibri" w:cs="Calibri"/>
                              <w:noProof/>
                              <w:color w:val="0071BD"/>
                              <w:rtl/>
                              <w:lang w:bidi="ar-SA"/>
                            </w:rPr>
                            <w:t>خصوصيّ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7698C7" id="_x0000_t202" coordsize="21600,21600" o:spt="202" path="m,l,21600r21600,l21600,xe">
              <v:stroke joinstyle="miter"/>
              <v:path gradientshapeok="t" o:connecttype="rect"/>
            </v:shapetype>
            <v:shape id="Text Box 2" o:spid="_x0000_s1026" type="#_x0000_t202" alt="CONFIDENTIAL |   خصوصيّ" style="position:absolute;margin-left:0;margin-top:0;width:124.3pt;height:29.0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J5DwIAABsEAAAOAAAAZHJzL2Uyb0RvYy54bWysU8Fu2zAMvQ/YPwi6L3bSJUuNOEXWIsOA&#10;oC2QDj0rshQbkERBUmJnXz9KdpKu22nYRaZJ6pF8fFrcdVqRo3C+AVPS8SinRBgOVWP2Jf3xsv40&#10;p8QHZiqmwIiSnoSnd8uPHxatLcQEalCVcARBjC9aW9I6BFtkmee10MyPwAqDQQlOs4C/bp9VjrWI&#10;rlU2yfNZ1oKrrAMuvEfvQx+ky4QvpeDhSUovAlElxd5COl06d/HMlgtW7B2zdcOHNtg/dKFZY7Do&#10;BeqBBUYOrvkDSjfcgQcZRhx0BlI2XKQZcJpx/m6abc2sSLMgOd5eaPL/D5Y/Hrf22ZHQfYUOFxgJ&#10;aa0vPDrjPJ10On6xU4JxpPB0oU10gfB4afplPhtjiGPsZja/vZlGmOx62zofvgnQJBoldbiWxBY7&#10;bnzoU88psZiBdaNUWo0yvzkQM3qya4vRCt2uG/reQXXCcRz0m/aWrxusuWE+PDOHq8U2Ua7hCQ+p&#10;oC0pDBYlNbiff/PHfGQco5S0KJWSGtQyJeq7wU1Mpp/zPEor/aHhzsYuGePbfBrj5qDvAVU4xgdh&#10;eTJjclBnUzrQr6jmVayGIWY41izp7mzeh164+Bq4WK1SEqrIsrAxW8sjdCQrMvnSvTJnB7oDLuoR&#10;zmJixTvW+9x409vVISD3aSWR2J7NgW9UYFrq8FqixN/+p6zrm17+AgAA//8DAFBLAwQUAAYACAAA&#10;ACEArxEWRtoAAAAEAQAADwAAAGRycy9kb3ducmV2LnhtbEyPzU7DMBCE70i8g7VIvVGnUYmiEKeq&#10;+BNXAlJ7dOJtHDVeh6zbhrfHcIHLSqMZzXxbbmY3iDNO3HtSsFomIJBab3rqFHy8P9/mIDhoMnrw&#10;hAq+kGFTXV+VujD+Qm94rkMnYglxoRXYEMZCSm4tOs1LPyJF7+Anp0OUUyfNpC+x3A0yTZJMOt1T&#10;XLB6xAeL7bE+OQXZ48vWjrts/3lI+ZUbfwy1f1JqcTNv70EEnMNfGH7wIzpUkanxJzIsBgXxkfB7&#10;o5eu8wxEo+AuX4GsSvkfvvoGAAD//wMAUEsBAi0AFAAGAAgAAAAhALaDOJL+AAAA4QEAABMAAAAA&#10;AAAAAAAAAAAAAAAAAFtDb250ZW50X1R5cGVzXS54bWxQSwECLQAUAAYACAAAACEAOP0h/9YAAACU&#10;AQAACwAAAAAAAAAAAAAAAAAvAQAAX3JlbHMvLnJlbHNQSwECLQAUAAYACAAAACEASEnyeQ8CAAAb&#10;BAAADgAAAAAAAAAAAAAAAAAuAgAAZHJzL2Uyb0RvYy54bWxQSwECLQAUAAYACAAAACEArxEWRtoA&#10;AAAEAQAADwAAAAAAAAAAAAAAAABpBAAAZHJzL2Rvd25yZXYueG1sUEsFBgAAAAAEAAQA8wAAAHAF&#10;AAAAAA==&#10;" filled="f" stroked="f">
              <v:textbox style="mso-fit-shape-to-text:t" inset="20pt,0,0,15pt">
                <w:txbxContent>
                  <w:p w14:paraId="10079F27" w14:textId="0F715FE1" w:rsidR="00A03BF6" w:rsidRPr="00A03BF6" w:rsidRDefault="00A03BF6" w:rsidP="00A03BF6">
                    <w:pPr>
                      <w:spacing w:after="0"/>
                      <w:rPr>
                        <w:rFonts w:ascii="Calibri" w:eastAsia="Calibri" w:hAnsi="Calibri" w:cs="Calibri"/>
                        <w:noProof/>
                        <w:color w:val="0071BD"/>
                      </w:rPr>
                    </w:pPr>
                    <w:r w:rsidRPr="00A03BF6">
                      <w:rPr>
                        <w:rFonts w:ascii="Calibri" w:eastAsia="Calibri" w:hAnsi="Calibri" w:cs="Calibri"/>
                        <w:noProof/>
                        <w:color w:val="0071BD"/>
                      </w:rPr>
                      <w:t xml:space="preserve">CONFIDENTIAL |   </w:t>
                    </w:r>
                    <w:r w:rsidRPr="00A03BF6">
                      <w:rPr>
                        <w:rFonts w:ascii="Calibri" w:eastAsia="Calibri" w:hAnsi="Calibri" w:cs="Calibri"/>
                        <w:noProof/>
                        <w:color w:val="0071BD"/>
                        <w:rtl/>
                        <w:lang w:bidi="ar-SA"/>
                      </w:rPr>
                      <w:t>خصوصيّ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4D83" w14:textId="747BE7B1" w:rsidR="00A03BF6" w:rsidRDefault="00A03BF6">
    <w:pPr>
      <w:pStyle w:val="Footer"/>
    </w:pPr>
    <w:r>
      <w:rPr>
        <w:noProof/>
        <w14:ligatures w14:val="standardContextual"/>
      </w:rPr>
      <mc:AlternateContent>
        <mc:Choice Requires="wps">
          <w:drawing>
            <wp:anchor distT="0" distB="0" distL="0" distR="0" simplePos="0" relativeHeight="251663360" behindDoc="0" locked="0" layoutInCell="1" allowOverlap="1" wp14:anchorId="50746896" wp14:editId="46DCEC04">
              <wp:simplePos x="685800" y="10096500"/>
              <wp:positionH relativeFrom="page">
                <wp:align>left</wp:align>
              </wp:positionH>
              <wp:positionV relativeFrom="page">
                <wp:align>bottom</wp:align>
              </wp:positionV>
              <wp:extent cx="1578610" cy="368935"/>
              <wp:effectExtent l="0" t="0" r="2540" b="0"/>
              <wp:wrapNone/>
              <wp:docPr id="637989532" name="Text Box 3" descr="CONFIDENTIAL |   خصوص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8610" cy="368935"/>
                      </a:xfrm>
                      <a:prstGeom prst="rect">
                        <a:avLst/>
                      </a:prstGeom>
                      <a:noFill/>
                      <a:ln>
                        <a:noFill/>
                      </a:ln>
                    </wps:spPr>
                    <wps:txbx>
                      <w:txbxContent>
                        <w:p w14:paraId="71F9F2FD" w14:textId="1CEBC31B" w:rsidR="00A03BF6" w:rsidRPr="00A03BF6" w:rsidRDefault="00A03BF6" w:rsidP="00A03BF6">
                          <w:pPr>
                            <w:spacing w:after="0"/>
                            <w:rPr>
                              <w:rFonts w:ascii="Calibri" w:eastAsia="Calibri" w:hAnsi="Calibri" w:cs="Calibri"/>
                              <w:noProof/>
                              <w:color w:val="0071BD"/>
                            </w:rPr>
                          </w:pPr>
                          <w:r w:rsidRPr="00A03BF6">
                            <w:rPr>
                              <w:rFonts w:ascii="Calibri" w:eastAsia="Calibri" w:hAnsi="Calibri" w:cs="Calibri"/>
                              <w:noProof/>
                              <w:color w:val="0071BD"/>
                            </w:rPr>
                            <w:t xml:space="preserve">CONFIDENTIAL |   </w:t>
                          </w:r>
                          <w:r w:rsidRPr="00A03BF6">
                            <w:rPr>
                              <w:rFonts w:ascii="Calibri" w:eastAsia="Calibri" w:hAnsi="Calibri" w:cs="Calibri"/>
                              <w:noProof/>
                              <w:color w:val="0071BD"/>
                              <w:rtl/>
                              <w:lang w:bidi="ar-SA"/>
                            </w:rPr>
                            <w:t>خصوصيّ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746896" id="_x0000_t202" coordsize="21600,21600" o:spt="202" path="m,l,21600r21600,l21600,xe">
              <v:stroke joinstyle="miter"/>
              <v:path gradientshapeok="t" o:connecttype="rect"/>
            </v:shapetype>
            <v:shape id="Text Box 3" o:spid="_x0000_s1027" type="#_x0000_t202" alt="CONFIDENTIAL |   خصوصيّ" style="position:absolute;margin-left:0;margin-top:0;width:124.3pt;height:29.0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pmEgIAACIEAAAOAAAAZHJzL2Uyb0RvYy54bWysU99v2jAQfp+0/8Hy+0igg9GIULFWTJNQ&#10;W4lOfTaOTSLZPss2JOyv39kJ0HV7mvbiXO7O9+P7Pi/uOq3IUTjfgCnpeJRTIgyHqjH7kv54WX+a&#10;U+IDMxVTYERJT8LTu+XHD4vWFmICNahKOIJFjC9aW9I6BFtkmee10MyPwAqDQQlOs4C/bp9VjrVY&#10;XatskuezrAVXWQdceI/ehz5Il6m+lIKHJym9CESVFGcL6XTp3MUzWy5YsXfM1g0fxmD/MIVmjcGm&#10;l1IPLDBycM0fpXTDHXiQYcRBZyBlw0XaAbcZ5++22dbMirQLguPtBSb//8ryx+PWPjsSuq/QIYER&#10;kNb6wqMz7tNJp+MXJyUYRwhPF9hEFwiPl6Zf5rMxhjjGbmbz25tpLJNdb1vnwzcBmkSjpA5pSWix&#10;48aHPvWcEpsZWDdKJWqU+c2BNaMnu44YrdDtOtJUb8bfQXXCrRz0hHvL1w223jAfnplDhnFaVG14&#10;wkMqaEsKg0VJDe7n3/wxH4HHKCUtKqakBiVNifpukJDJ9HOeR4WlPzTc2dglY3ybT2PcHPQ9oBjH&#10;+C4sT2ZMDupsSgf6FUW9it0wxAzHniXdnc370OsXHwUXq1VKQjFZFjZma3ksHTGLgL50r8zZAfWA&#10;fD3CWVOseAd+nxtvers6BKQgMRPx7dEcYEchJm6HRxOV/vY/ZV2f9vIXAAAA//8DAFBLAwQUAAYA&#10;CAAAACEArxEWRtoAAAAEAQAADwAAAGRycy9kb3ducmV2LnhtbEyPzU7DMBCE70i8g7VIvVGnUYmi&#10;EKeq+BNXAlJ7dOJtHDVeh6zbhrfHcIHLSqMZzXxbbmY3iDNO3HtSsFomIJBab3rqFHy8P9/mIDho&#10;MnrwhAq+kGFTXV+VujD+Qm94rkMnYglxoRXYEMZCSm4tOs1LPyJF7+Anp0OUUyfNpC+x3A0yTZJM&#10;Ot1TXLB6xAeL7bE+OQXZ48vWjrts/3lI+ZUbfwy1f1JqcTNv70EEnMNfGH7wIzpUkanxJzIsBgXx&#10;kfB7o5eu8wxEo+AuX4GsSvkfvvoGAAD//wMAUEsBAi0AFAAGAAgAAAAhALaDOJL+AAAA4QEAABMA&#10;AAAAAAAAAAAAAAAAAAAAAFtDb250ZW50X1R5cGVzXS54bWxQSwECLQAUAAYACAAAACEAOP0h/9YA&#10;AACUAQAACwAAAAAAAAAAAAAAAAAvAQAAX3JlbHMvLnJlbHNQSwECLQAUAAYACAAAACEAJ22aZhIC&#10;AAAiBAAADgAAAAAAAAAAAAAAAAAuAgAAZHJzL2Uyb0RvYy54bWxQSwECLQAUAAYACAAAACEArxEW&#10;RtoAAAAEAQAADwAAAAAAAAAAAAAAAABsBAAAZHJzL2Rvd25yZXYueG1sUEsFBgAAAAAEAAQA8wAA&#10;AHMFAAAAAA==&#10;" filled="f" stroked="f">
              <v:textbox style="mso-fit-shape-to-text:t" inset="20pt,0,0,15pt">
                <w:txbxContent>
                  <w:p w14:paraId="71F9F2FD" w14:textId="1CEBC31B" w:rsidR="00A03BF6" w:rsidRPr="00A03BF6" w:rsidRDefault="00A03BF6" w:rsidP="00A03BF6">
                    <w:pPr>
                      <w:spacing w:after="0"/>
                      <w:rPr>
                        <w:rFonts w:ascii="Calibri" w:eastAsia="Calibri" w:hAnsi="Calibri" w:cs="Calibri"/>
                        <w:noProof/>
                        <w:color w:val="0071BD"/>
                      </w:rPr>
                    </w:pPr>
                    <w:r w:rsidRPr="00A03BF6">
                      <w:rPr>
                        <w:rFonts w:ascii="Calibri" w:eastAsia="Calibri" w:hAnsi="Calibri" w:cs="Calibri"/>
                        <w:noProof/>
                        <w:color w:val="0071BD"/>
                      </w:rPr>
                      <w:t xml:space="preserve">CONFIDENTIAL |   </w:t>
                    </w:r>
                    <w:r w:rsidRPr="00A03BF6">
                      <w:rPr>
                        <w:rFonts w:ascii="Calibri" w:eastAsia="Calibri" w:hAnsi="Calibri" w:cs="Calibri"/>
                        <w:noProof/>
                        <w:color w:val="0071BD"/>
                        <w:rtl/>
                        <w:lang w:bidi="ar-SA"/>
                      </w:rPr>
                      <w:t>خصوصيّ</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88D5" w14:textId="57637EC3" w:rsidR="00A03BF6" w:rsidRDefault="00A03BF6">
    <w:pPr>
      <w:pStyle w:val="Footer"/>
    </w:pPr>
    <w:r>
      <w:rPr>
        <w:noProof/>
        <w14:ligatures w14:val="standardContextual"/>
      </w:rPr>
      <mc:AlternateContent>
        <mc:Choice Requires="wps">
          <w:drawing>
            <wp:anchor distT="0" distB="0" distL="0" distR="0" simplePos="0" relativeHeight="251661312" behindDoc="0" locked="0" layoutInCell="1" allowOverlap="1" wp14:anchorId="1F02DB01" wp14:editId="11031B66">
              <wp:simplePos x="635" y="635"/>
              <wp:positionH relativeFrom="page">
                <wp:align>left</wp:align>
              </wp:positionH>
              <wp:positionV relativeFrom="page">
                <wp:align>bottom</wp:align>
              </wp:positionV>
              <wp:extent cx="1578610" cy="368935"/>
              <wp:effectExtent l="0" t="0" r="2540" b="0"/>
              <wp:wrapNone/>
              <wp:docPr id="1124806910" name="Text Box 1" descr="CONFIDENTIAL |   خصوص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78610" cy="368935"/>
                      </a:xfrm>
                      <a:prstGeom prst="rect">
                        <a:avLst/>
                      </a:prstGeom>
                      <a:noFill/>
                      <a:ln>
                        <a:noFill/>
                      </a:ln>
                    </wps:spPr>
                    <wps:txbx>
                      <w:txbxContent>
                        <w:p w14:paraId="502B1D49" w14:textId="210F4B32" w:rsidR="00A03BF6" w:rsidRPr="00A03BF6" w:rsidRDefault="00A03BF6" w:rsidP="00A03BF6">
                          <w:pPr>
                            <w:spacing w:after="0"/>
                            <w:rPr>
                              <w:rFonts w:ascii="Calibri" w:eastAsia="Calibri" w:hAnsi="Calibri" w:cs="Calibri"/>
                              <w:noProof/>
                              <w:color w:val="0071BD"/>
                            </w:rPr>
                          </w:pPr>
                          <w:r w:rsidRPr="00A03BF6">
                            <w:rPr>
                              <w:rFonts w:ascii="Calibri" w:eastAsia="Calibri" w:hAnsi="Calibri" w:cs="Calibri"/>
                              <w:noProof/>
                              <w:color w:val="0071BD"/>
                            </w:rPr>
                            <w:t xml:space="preserve">CONFIDENTIAL |   </w:t>
                          </w:r>
                          <w:r w:rsidRPr="00A03BF6">
                            <w:rPr>
                              <w:rFonts w:ascii="Calibri" w:eastAsia="Calibri" w:hAnsi="Calibri" w:cs="Calibri"/>
                              <w:noProof/>
                              <w:color w:val="0071BD"/>
                              <w:rtl/>
                              <w:lang w:bidi="ar-SA"/>
                            </w:rPr>
                            <w:t>خصوصيّ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02DB01" id="_x0000_t202" coordsize="21600,21600" o:spt="202" path="m,l,21600r21600,l21600,xe">
              <v:stroke joinstyle="miter"/>
              <v:path gradientshapeok="t" o:connecttype="rect"/>
            </v:shapetype>
            <v:shape id="Text Box 1" o:spid="_x0000_s1028" type="#_x0000_t202" alt="CONFIDENTIAL |   خصوصيّ" style="position:absolute;margin-left:0;margin-top:0;width:124.3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kkEwIAACIEAAAOAAAAZHJzL2Uyb0RvYy54bWysU99v2jAQfp+0/8Hy+0igg9GIULFWTJNQ&#10;W4lOfTaOTSLZPss2JOyv39kh0HV7mvbiXO7O9+P7Pi/uOq3IUTjfgCnpeJRTIgyHqjH7kv54WX+a&#10;U+IDMxVTYERJT8LTu+XHD4vWFmICNahKOIJFjC9aW9I6BFtkmee10MyPwAqDQQlOs4C/bp9VjrVY&#10;XatskuezrAVXWQdceI/ehz5Il6m+lIKHJym9CESVFGcL6XTp3MUzWy5YsXfM1g0/j8H+YQrNGoNN&#10;L6UeWGDk4Jo/SumGO/Agw4iDzkDKhou0A24zzt9ts62ZFWkXBMfbC0z+/5Xlj8etfXYkdF+hQwIj&#10;IK31hUdn3KeTTscvTkowjhCeLrCJLhAeL02/zGdjDHGM3czmtzfTWCa73rbOh28CNIlGSR3SktBi&#10;x40PfeqQEpsZWDdKJWqU+c2BNaMnu44YrdDtOtJUJZ0M4++gOuFWDnrCveXrBltvmA/PzCHDOC2q&#10;NjzhIRW0JYWzRUkN7uff/DEfgccoJS0qpqQGJU2J+m6QkMn0c55HhaU/NNxg7JIxvs2nMW4O+h5Q&#10;jGN8F5YnMyYHNZjSgX5FUa9iNwwxw7FnSXeDeR96/eKj4GK1SkkoJsvCxmwtj6UjZhHQl+6VOXtG&#10;PSBfjzBoihXvwO9z401vV4eAFCRmIr49mmfYUYiJ2/OjiUp/+5+yrk97+QsAAP//AwBQSwMEFAAG&#10;AAgAAAAhAK8RFkbaAAAABAEAAA8AAABkcnMvZG93bnJldi54bWxMj81OwzAQhO9IvIO1SL1Rp1GJ&#10;ohCnqvgTVwJSe3TibRw1Xoes24a3x3CBy0qjGc18W25mN4gzTtx7UrBaJiCQWm966hR8vD/f5iA4&#10;aDJ68IQKvpBhU11flbow/kJveK5DJ2IJcaEV2BDGQkpuLTrNSz8iRe/gJ6dDlFMnzaQvsdwNMk2S&#10;TDrdU1ywesQHi+2xPjkF2ePL1o67bP95SPmVG38MtX9SanEzb+9BBJzDXxh+8CM6VJGp8ScyLAYF&#10;8ZHwe6OXrvMMRKPgLl+BrEr5H776BgAA//8DAFBLAQItABQABgAIAAAAIQC2gziS/gAAAOEBAAAT&#10;AAAAAAAAAAAAAAAAAAAAAABbQ29udGVudF9UeXBlc10ueG1sUEsBAi0AFAAGAAgAAAAhADj9If/W&#10;AAAAlAEAAAsAAAAAAAAAAAAAAAAALwEAAF9yZWxzLy5yZWxzUEsBAi0AFAAGAAgAAAAhAHb7aSQT&#10;AgAAIgQAAA4AAAAAAAAAAAAAAAAALgIAAGRycy9lMm9Eb2MueG1sUEsBAi0AFAAGAAgAAAAhAK8R&#10;FkbaAAAABAEAAA8AAAAAAAAAAAAAAAAAbQQAAGRycy9kb3ducmV2LnhtbFBLBQYAAAAABAAEAPMA&#10;AAB0BQAAAAA=&#10;" filled="f" stroked="f">
              <v:textbox style="mso-fit-shape-to-text:t" inset="20pt,0,0,15pt">
                <w:txbxContent>
                  <w:p w14:paraId="502B1D49" w14:textId="210F4B32" w:rsidR="00A03BF6" w:rsidRPr="00A03BF6" w:rsidRDefault="00A03BF6" w:rsidP="00A03BF6">
                    <w:pPr>
                      <w:spacing w:after="0"/>
                      <w:rPr>
                        <w:rFonts w:ascii="Calibri" w:eastAsia="Calibri" w:hAnsi="Calibri" w:cs="Calibri"/>
                        <w:noProof/>
                        <w:color w:val="0071BD"/>
                      </w:rPr>
                    </w:pPr>
                    <w:r w:rsidRPr="00A03BF6">
                      <w:rPr>
                        <w:rFonts w:ascii="Calibri" w:eastAsia="Calibri" w:hAnsi="Calibri" w:cs="Calibri"/>
                        <w:noProof/>
                        <w:color w:val="0071BD"/>
                      </w:rPr>
                      <w:t xml:space="preserve">CONFIDENTIAL |   </w:t>
                    </w:r>
                    <w:r w:rsidRPr="00A03BF6">
                      <w:rPr>
                        <w:rFonts w:ascii="Calibri" w:eastAsia="Calibri" w:hAnsi="Calibri" w:cs="Calibri"/>
                        <w:noProof/>
                        <w:color w:val="0071BD"/>
                        <w:rtl/>
                        <w:lang w:bidi="ar-SA"/>
                      </w:rPr>
                      <w:t>خصوصيّ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73AB" w14:textId="77777777" w:rsidR="00457467" w:rsidRDefault="00457467" w:rsidP="006F5F6D">
      <w:pPr>
        <w:spacing w:after="0" w:line="240" w:lineRule="auto"/>
      </w:pPr>
      <w:r>
        <w:separator/>
      </w:r>
    </w:p>
  </w:footnote>
  <w:footnote w:type="continuationSeparator" w:id="0">
    <w:p w14:paraId="2910DE7D" w14:textId="77777777" w:rsidR="00457467" w:rsidRDefault="00457467" w:rsidP="006F5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3766" w14:textId="37D1597D" w:rsidR="00C53047" w:rsidRDefault="00591A77" w:rsidP="00445264">
    <w:pPr>
      <w:pStyle w:val="Header"/>
      <w:tabs>
        <w:tab w:val="clear" w:pos="4680"/>
        <w:tab w:val="clear" w:pos="9360"/>
        <w:tab w:val="left" w:pos="7093"/>
      </w:tabs>
      <w:bidi/>
      <w:rPr>
        <w:b/>
        <w:bCs/>
        <w:lang w:bidi="ar-AE"/>
      </w:rPr>
    </w:pPr>
    <w:r>
      <w:rPr>
        <w:b/>
        <w:bCs/>
        <w:noProof/>
        <w:lang w:bidi="ar-AE"/>
        <w14:ligatures w14:val="standardContextual"/>
      </w:rPr>
      <w:drawing>
        <wp:anchor distT="0" distB="0" distL="114300" distR="114300" simplePos="0" relativeHeight="251660288" behindDoc="0" locked="0" layoutInCell="1" allowOverlap="1" wp14:anchorId="7562EE5E" wp14:editId="659E594D">
          <wp:simplePos x="0" y="0"/>
          <wp:positionH relativeFrom="margin">
            <wp:posOffset>-188596</wp:posOffset>
          </wp:positionH>
          <wp:positionV relativeFrom="paragraph">
            <wp:posOffset>6985</wp:posOffset>
          </wp:positionV>
          <wp:extent cx="2409825" cy="586105"/>
          <wp:effectExtent l="0" t="0" r="9525" b="4445"/>
          <wp:wrapNone/>
          <wp:docPr id="1478263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6358" name="Picture 147826358"/>
                  <pic:cNvPicPr/>
                </pic:nvPicPr>
                <pic:blipFill>
                  <a:blip r:embed="rId1">
                    <a:extLst>
                      <a:ext uri="{28A0092B-C50C-407E-A947-70E740481C1C}">
                        <a14:useLocalDpi xmlns:a14="http://schemas.microsoft.com/office/drawing/2010/main" val="0"/>
                      </a:ext>
                    </a:extLst>
                  </a:blip>
                  <a:stretch>
                    <a:fillRect/>
                  </a:stretch>
                </pic:blipFill>
                <pic:spPr>
                  <a:xfrm>
                    <a:off x="0" y="0"/>
                    <a:ext cx="2441046" cy="593698"/>
                  </a:xfrm>
                  <a:prstGeom prst="rect">
                    <a:avLst/>
                  </a:prstGeom>
                </pic:spPr>
              </pic:pic>
            </a:graphicData>
          </a:graphic>
          <wp14:sizeRelH relativeFrom="page">
            <wp14:pctWidth>0</wp14:pctWidth>
          </wp14:sizeRelH>
          <wp14:sizeRelV relativeFrom="page">
            <wp14:pctHeight>0</wp14:pctHeight>
          </wp14:sizeRelV>
        </wp:anchor>
      </w:drawing>
    </w:r>
    <w:r>
      <w:rPr>
        <w:b/>
        <w:bCs/>
        <w:noProof/>
        <w:lang w:bidi="ar-AE"/>
        <w14:ligatures w14:val="standardContextual"/>
      </w:rPr>
      <mc:AlternateContent>
        <mc:Choice Requires="wps">
          <w:drawing>
            <wp:anchor distT="0" distB="0" distL="114300" distR="114300" simplePos="0" relativeHeight="251659264" behindDoc="0" locked="0" layoutInCell="1" allowOverlap="1" wp14:anchorId="58034B29" wp14:editId="6B659B54">
              <wp:simplePos x="0" y="0"/>
              <wp:positionH relativeFrom="column">
                <wp:posOffset>-346270</wp:posOffset>
              </wp:positionH>
              <wp:positionV relativeFrom="paragraph">
                <wp:posOffset>-28184</wp:posOffset>
              </wp:positionV>
              <wp:extent cx="2286000" cy="661181"/>
              <wp:effectExtent l="0" t="0" r="19050" b="24765"/>
              <wp:wrapNone/>
              <wp:docPr id="906329227" name="Rectangle 1"/>
              <wp:cNvGraphicFramePr/>
              <a:graphic xmlns:a="http://schemas.openxmlformats.org/drawingml/2006/main">
                <a:graphicData uri="http://schemas.microsoft.com/office/word/2010/wordprocessingShape">
                  <wps:wsp>
                    <wps:cNvSpPr/>
                    <wps:spPr>
                      <a:xfrm>
                        <a:off x="0" y="0"/>
                        <a:ext cx="2286000" cy="661181"/>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F69B80" id="Rectangle 1" o:spid="_x0000_s1026" style="position:absolute;margin-left:-27.25pt;margin-top:-2.2pt;width:180pt;height:5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OJYgIAACwFAAAOAAAAZHJzL2Uyb0RvYy54bWysVEtv2zAMvg/YfxB0X20HXdYFdYqgRYcB&#10;RVssHXpWZCkxJosapcTJfv0o+ZGsy2nYRSbNj0991PXNvjFsp9DXYEteXOScKSuhqu265N9f7j9c&#10;ceaDsJUwYFXJD8rzm/n7d9etm6kJbMBUChkFsX7WupJvQnCzLPNyoxrhL8ApS0YN2IhAKq6zCkVL&#10;0RuTTfJ8mrWAlUOQynv6e9cZ+TzF11rJ8KS1V4GZklNtIZ2YzlU8s/m1mK1RuE0t+zLEP1TRiNpS&#10;0jHUnQiCbbH+K1RTSwQPOlxIaDLQupYq9UDdFPmbbpYb4VTqhYbj3Tgm///Cysfd0j0jjaF1fuZJ&#10;jF3sNTbxS/WxfRrWYRyW2gcm6edkcjXNc5qpJNt0WhRXRZxmdvR26MMXBQ2LQsmRLiPNSOwefOig&#10;AyQmMzaeHkxd3dfGJCXSQN0aZDtBF7haDylOUJQwembH+pMUDkZ1Ub8pzeoqVpyyJ2odYwoplQ3T&#10;vnRjCR3dNFUwOhbnHE0Yiumx0U0lyo2O+TnHPzOOHikr2DA6N7UFPBeg+jFm7vBD913Psf0VVIdn&#10;ZAgd4b2T9zVdwoPw4VkgMZzujbY2PNGhDbQlh17ibAP469z/iCfikZWzljam5P7nVqDizHy1RMnP&#10;xeVlXLGkXH78NCEFTy2rU4vdNrdAd1rQ++BkEiM+mEHUCM0rLfciZiWTsJJyl1wGHJTb0G0yPQ9S&#10;LRYJRmvlRHiwSydj8DjVSLKX/atA1zMxEIcfYdguMXtDyA4bPS0stgF0ndh6nGs/b1rJxPf++Yg7&#10;f6on1PGRm/8GAAD//wMAUEsDBBQABgAIAAAAIQA/B+ZS3QAAAAkBAAAPAAAAZHJzL2Rvd25yZXYu&#10;eG1sTI9NT8MwDIbvSPyHyEjctnSlZVtpOlUgJK4dXLhljWkrGqdLsq38e8yJ3fzx6PXjcjfbUZzR&#10;h8GRgtUyAYHUOjNQp+Dj/XWxARGiJqNHR6jgBwPsqtubUhfGXajB8z52gkMoFFpBH+NUSBnaHq0O&#10;Szch8e7Leasjt76TxusLh9tRpknyKK0eiC/0esLnHtvv/ckqeBnr1ac7Uq3fYnPsBp82s0+Vur+b&#10;6ycQEef4D8OfPqtDxU4HdyITxKhgkWc5o1xkGQgGHpKcBwcF2+0aZFXK6w+qXwAAAP//AwBQSwEC&#10;LQAUAAYACAAAACEAtoM4kv4AAADhAQAAEwAAAAAAAAAAAAAAAAAAAAAAW0NvbnRlbnRfVHlwZXNd&#10;LnhtbFBLAQItABQABgAIAAAAIQA4/SH/1gAAAJQBAAALAAAAAAAAAAAAAAAAAC8BAABfcmVscy8u&#10;cmVsc1BLAQItABQABgAIAAAAIQAFKqOJYgIAACwFAAAOAAAAAAAAAAAAAAAAAC4CAABkcnMvZTJv&#10;RG9jLnhtbFBLAQItABQABgAIAAAAIQA/B+ZS3QAAAAkBAAAPAAAAAAAAAAAAAAAAALwEAABkcnMv&#10;ZG93bnJldi54bWxQSwUGAAAAAAQABADzAAAAxgUAAAAA&#10;" fillcolor="white [3201]" strokecolor="white [3212]" strokeweight="1pt"/>
          </w:pict>
        </mc:Fallback>
      </mc:AlternateContent>
    </w:r>
  </w:p>
  <w:p w14:paraId="33DEE807" w14:textId="6E165441" w:rsidR="006F5F6D" w:rsidRPr="00C53047" w:rsidRDefault="005C6ED3" w:rsidP="00C53047">
    <w:pPr>
      <w:pStyle w:val="Header"/>
      <w:tabs>
        <w:tab w:val="clear" w:pos="4680"/>
        <w:tab w:val="clear" w:pos="9360"/>
        <w:tab w:val="left" w:pos="7093"/>
      </w:tabs>
      <w:bidi/>
      <w:rPr>
        <w:b/>
        <w:bCs/>
      </w:rPr>
    </w:pPr>
    <w:r w:rsidRPr="00C53047">
      <w:rPr>
        <w:b/>
        <w:bCs/>
        <w:noProof/>
      </w:rPr>
      <w:drawing>
        <wp:anchor distT="0" distB="0" distL="114300" distR="114300" simplePos="0" relativeHeight="251658240" behindDoc="1" locked="0" layoutInCell="1" allowOverlap="1" wp14:anchorId="02215235" wp14:editId="50E14B65">
          <wp:simplePos x="0" y="0"/>
          <wp:positionH relativeFrom="page">
            <wp:align>center</wp:align>
          </wp:positionH>
          <wp:positionV relativeFrom="page">
            <wp:align>top</wp:align>
          </wp:positionV>
          <wp:extent cx="7552671" cy="10691997"/>
          <wp:effectExtent l="0" t="0" r="0" b="0"/>
          <wp:wrapNone/>
          <wp:docPr id="4237715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71547"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7552671" cy="10691997"/>
                  </a:xfrm>
                  <a:prstGeom prst="rect">
                    <a:avLst/>
                  </a:prstGeom>
                </pic:spPr>
              </pic:pic>
            </a:graphicData>
          </a:graphic>
          <wp14:sizeRelH relativeFrom="margin">
            <wp14:pctWidth>0</wp14:pctWidth>
          </wp14:sizeRelH>
          <wp14:sizeRelV relativeFrom="margin">
            <wp14:pctHeight>0</wp14:pctHeight>
          </wp14:sizeRelV>
        </wp:anchor>
      </w:drawing>
    </w:r>
    <w:r w:rsidR="00445264" w:rsidRPr="00C53047">
      <w:rPr>
        <w:rFonts w:hint="cs"/>
        <w:b/>
        <w:bCs/>
        <w:rtl/>
        <w:lang w:bidi="ar-AE"/>
      </w:rPr>
      <w:t>خبر صحفي</w:t>
    </w:r>
    <w:r w:rsidR="008A40CC" w:rsidRPr="00C53047">
      <w:rPr>
        <w:b/>
        <w:bCs/>
      </w:rPr>
      <w:tab/>
    </w:r>
  </w:p>
  <w:p w14:paraId="17229D77" w14:textId="459C0A42" w:rsidR="006F5F6D" w:rsidRDefault="006F5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0B7"/>
    <w:multiLevelType w:val="hybridMultilevel"/>
    <w:tmpl w:val="035401D8"/>
    <w:lvl w:ilvl="0" w:tplc="B19C3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94E61"/>
    <w:multiLevelType w:val="hybridMultilevel"/>
    <w:tmpl w:val="CD84DA00"/>
    <w:lvl w:ilvl="0" w:tplc="6FC44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E0752F"/>
    <w:multiLevelType w:val="hybridMultilevel"/>
    <w:tmpl w:val="C58AC23C"/>
    <w:lvl w:ilvl="0" w:tplc="BFFA49F6">
      <w:start w:val="1"/>
      <w:numFmt w:val="bullet"/>
      <w:lvlText w:val=""/>
      <w:lvlJc w:val="left"/>
      <w:pPr>
        <w:ind w:left="720" w:hanging="360"/>
      </w:pPr>
      <w:rPr>
        <w:rFonts w:ascii="Symbol" w:hAnsi="Symbol" w:cs="Symbol" w:hint="default"/>
        <w:color w:val="0F476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9769548">
    <w:abstractNumId w:val="0"/>
  </w:num>
  <w:num w:numId="2" w16cid:durableId="191655043">
    <w:abstractNumId w:val="1"/>
  </w:num>
  <w:num w:numId="3" w16cid:durableId="153227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54"/>
    <w:rsid w:val="0000525E"/>
    <w:rsid w:val="000369CA"/>
    <w:rsid w:val="00062D7F"/>
    <w:rsid w:val="0008088E"/>
    <w:rsid w:val="000B320B"/>
    <w:rsid w:val="000D1C04"/>
    <w:rsid w:val="00141407"/>
    <w:rsid w:val="00144D7E"/>
    <w:rsid w:val="00160F98"/>
    <w:rsid w:val="00187554"/>
    <w:rsid w:val="001A74DE"/>
    <w:rsid w:val="0022244E"/>
    <w:rsid w:val="002E746D"/>
    <w:rsid w:val="00313811"/>
    <w:rsid w:val="004112FF"/>
    <w:rsid w:val="004369F1"/>
    <w:rsid w:val="004379E7"/>
    <w:rsid w:val="00445264"/>
    <w:rsid w:val="00457467"/>
    <w:rsid w:val="00465146"/>
    <w:rsid w:val="00484E89"/>
    <w:rsid w:val="004D21FC"/>
    <w:rsid w:val="004D59D7"/>
    <w:rsid w:val="00501989"/>
    <w:rsid w:val="00506006"/>
    <w:rsid w:val="00542F94"/>
    <w:rsid w:val="00554805"/>
    <w:rsid w:val="00591A77"/>
    <w:rsid w:val="005C6ED3"/>
    <w:rsid w:val="00604791"/>
    <w:rsid w:val="00647E4D"/>
    <w:rsid w:val="006D0DAB"/>
    <w:rsid w:val="006F5F6D"/>
    <w:rsid w:val="00704518"/>
    <w:rsid w:val="00725A29"/>
    <w:rsid w:val="00747849"/>
    <w:rsid w:val="00760AE5"/>
    <w:rsid w:val="007A4180"/>
    <w:rsid w:val="007E3A28"/>
    <w:rsid w:val="0082025F"/>
    <w:rsid w:val="008A2CAC"/>
    <w:rsid w:val="008A40CC"/>
    <w:rsid w:val="008B19F7"/>
    <w:rsid w:val="0092111A"/>
    <w:rsid w:val="009747C9"/>
    <w:rsid w:val="00A03BF6"/>
    <w:rsid w:val="00A64A92"/>
    <w:rsid w:val="00AC040E"/>
    <w:rsid w:val="00AE3DED"/>
    <w:rsid w:val="00AF6CC9"/>
    <w:rsid w:val="00B2771D"/>
    <w:rsid w:val="00B37AAF"/>
    <w:rsid w:val="00BE10D8"/>
    <w:rsid w:val="00BE6678"/>
    <w:rsid w:val="00BF3D7B"/>
    <w:rsid w:val="00BF55B2"/>
    <w:rsid w:val="00C035EC"/>
    <w:rsid w:val="00C130CA"/>
    <w:rsid w:val="00C17894"/>
    <w:rsid w:val="00C43479"/>
    <w:rsid w:val="00C47275"/>
    <w:rsid w:val="00C53047"/>
    <w:rsid w:val="00C7459C"/>
    <w:rsid w:val="00C92F18"/>
    <w:rsid w:val="00D241FF"/>
    <w:rsid w:val="00D91F4D"/>
    <w:rsid w:val="00DF06FB"/>
    <w:rsid w:val="00E17BE6"/>
    <w:rsid w:val="00E627FF"/>
    <w:rsid w:val="00E77F72"/>
    <w:rsid w:val="00F5140D"/>
    <w:rsid w:val="00F5746F"/>
    <w:rsid w:val="00F5785A"/>
    <w:rsid w:val="00F618F7"/>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7E4C7"/>
  <w15:chartTrackingRefBased/>
  <w15:docId w15:val="{D0139F33-CB23-444B-A596-F579801D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264"/>
    <w:pPr>
      <w:spacing w:after="200" w:line="276" w:lineRule="auto"/>
    </w:pPr>
    <w:rPr>
      <w:rFonts w:ascii="Arial" w:eastAsiaTheme="minorEastAsia" w:hAnsi="Arial"/>
      <w:kern w:val="0"/>
      <w:sz w:val="20"/>
      <w:szCs w:val="20"/>
      <w:lang w:val="en-US" w:bidi="en-US"/>
      <w14:ligatures w14:val="none"/>
    </w:rPr>
  </w:style>
  <w:style w:type="paragraph" w:styleId="Heading1">
    <w:name w:val="heading 1"/>
    <w:basedOn w:val="Normal"/>
    <w:next w:val="Normal"/>
    <w:link w:val="Heading1Char"/>
    <w:uiPriority w:val="9"/>
    <w:qFormat/>
    <w:rsid w:val="00187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5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5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5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5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554"/>
    <w:rPr>
      <w:rFonts w:eastAsiaTheme="majorEastAsia" w:cstheme="majorBidi"/>
      <w:color w:val="272727" w:themeColor="text1" w:themeTint="D8"/>
    </w:rPr>
  </w:style>
  <w:style w:type="paragraph" w:styleId="Title">
    <w:name w:val="Title"/>
    <w:basedOn w:val="Normal"/>
    <w:next w:val="Normal"/>
    <w:link w:val="TitleChar"/>
    <w:uiPriority w:val="10"/>
    <w:qFormat/>
    <w:rsid w:val="00187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554"/>
    <w:pPr>
      <w:spacing w:before="160"/>
      <w:jc w:val="center"/>
    </w:pPr>
    <w:rPr>
      <w:i/>
      <w:iCs/>
      <w:color w:val="404040" w:themeColor="text1" w:themeTint="BF"/>
    </w:rPr>
  </w:style>
  <w:style w:type="character" w:customStyle="1" w:styleId="QuoteChar">
    <w:name w:val="Quote Char"/>
    <w:basedOn w:val="DefaultParagraphFont"/>
    <w:link w:val="Quote"/>
    <w:uiPriority w:val="29"/>
    <w:rsid w:val="00187554"/>
    <w:rPr>
      <w:i/>
      <w:iCs/>
      <w:color w:val="404040" w:themeColor="text1" w:themeTint="BF"/>
    </w:rPr>
  </w:style>
  <w:style w:type="paragraph" w:styleId="ListParagraph">
    <w:name w:val="List Paragraph"/>
    <w:basedOn w:val="Normal"/>
    <w:uiPriority w:val="34"/>
    <w:qFormat/>
    <w:rsid w:val="00187554"/>
    <w:pPr>
      <w:ind w:left="720"/>
      <w:contextualSpacing/>
    </w:pPr>
  </w:style>
  <w:style w:type="character" w:styleId="IntenseEmphasis">
    <w:name w:val="Intense Emphasis"/>
    <w:basedOn w:val="DefaultParagraphFont"/>
    <w:uiPriority w:val="21"/>
    <w:qFormat/>
    <w:rsid w:val="00187554"/>
    <w:rPr>
      <w:i/>
      <w:iCs/>
      <w:color w:val="0F4761" w:themeColor="accent1" w:themeShade="BF"/>
    </w:rPr>
  </w:style>
  <w:style w:type="paragraph" w:styleId="IntenseQuote">
    <w:name w:val="Intense Quote"/>
    <w:basedOn w:val="Normal"/>
    <w:next w:val="Normal"/>
    <w:link w:val="IntenseQuoteChar"/>
    <w:uiPriority w:val="30"/>
    <w:qFormat/>
    <w:rsid w:val="00187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554"/>
    <w:rPr>
      <w:i/>
      <w:iCs/>
      <w:color w:val="0F4761" w:themeColor="accent1" w:themeShade="BF"/>
    </w:rPr>
  </w:style>
  <w:style w:type="character" w:styleId="IntenseReference">
    <w:name w:val="Intense Reference"/>
    <w:basedOn w:val="DefaultParagraphFont"/>
    <w:uiPriority w:val="32"/>
    <w:qFormat/>
    <w:rsid w:val="00187554"/>
    <w:rPr>
      <w:b/>
      <w:bCs/>
      <w:smallCaps/>
      <w:color w:val="0F4761" w:themeColor="accent1" w:themeShade="BF"/>
      <w:spacing w:val="5"/>
    </w:rPr>
  </w:style>
  <w:style w:type="paragraph" w:styleId="Header">
    <w:name w:val="header"/>
    <w:basedOn w:val="Normal"/>
    <w:link w:val="HeaderChar"/>
    <w:uiPriority w:val="99"/>
    <w:unhideWhenUsed/>
    <w:rsid w:val="006F5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F6D"/>
  </w:style>
  <w:style w:type="paragraph" w:styleId="Footer">
    <w:name w:val="footer"/>
    <w:basedOn w:val="Normal"/>
    <w:link w:val="FooterChar"/>
    <w:uiPriority w:val="99"/>
    <w:unhideWhenUsed/>
    <w:rsid w:val="006F5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F6D"/>
  </w:style>
  <w:style w:type="paragraph" w:styleId="Revision">
    <w:name w:val="Revision"/>
    <w:hidden/>
    <w:uiPriority w:val="99"/>
    <w:semiHidden/>
    <w:rsid w:val="00C130CA"/>
    <w:pPr>
      <w:spacing w:after="0" w:line="240" w:lineRule="auto"/>
    </w:pPr>
    <w:rPr>
      <w:rFonts w:ascii="Arial" w:eastAsiaTheme="minorEastAsia" w:hAnsi="Arial"/>
      <w:kern w:val="0"/>
      <w:sz w:val="20"/>
      <w:szCs w:val="2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01280">
      <w:bodyDiv w:val="1"/>
      <w:marLeft w:val="0"/>
      <w:marRight w:val="0"/>
      <w:marTop w:val="0"/>
      <w:marBottom w:val="0"/>
      <w:divBdr>
        <w:top w:val="none" w:sz="0" w:space="0" w:color="auto"/>
        <w:left w:val="none" w:sz="0" w:space="0" w:color="auto"/>
        <w:bottom w:val="none" w:sz="0" w:space="0" w:color="auto"/>
        <w:right w:val="none" w:sz="0" w:space="0" w:color="auto"/>
      </w:divBdr>
    </w:div>
    <w:div w:id="21366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c@adcmc.gov.a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dcmc.gov.a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DA063-77B5-2647-B88C-EF63AAC25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Sherif Ashraf</dc:creator>
  <cp:keywords/>
  <dc:description/>
  <cp:lastModifiedBy>Jenene Bronwin Batts</cp:lastModifiedBy>
  <cp:revision>7</cp:revision>
  <dcterms:created xsi:type="dcterms:W3CDTF">2026-04-23T15:43:00Z</dcterms:created>
  <dcterms:modified xsi:type="dcterms:W3CDTF">2026-05-22T06:02:00Z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430b30fe,477ebc99,2606f29c</vt:lpwstr>
  </property>
  <property fmtid="{D5CDD505-2E9C-101B-9397-08002B2CF9AE}" pid="3" name="ClassificationContentMarkingFooterFontProps">
    <vt:lpwstr>#0071bd,10,Calibri</vt:lpwstr>
  </property>
  <property fmtid="{D5CDD505-2E9C-101B-9397-08002B2CF9AE}" pid="4" name="ClassificationContentMarkingFooterText">
    <vt:lpwstr>CONFIDENTIAL |   خصوصيّ</vt:lpwstr>
  </property>
  <property fmtid="{D5CDD505-2E9C-101B-9397-08002B2CF9AE}" pid="5" name="MSIP_Label_44b50724-87c1-4b02-94c8-e7d88c4f4b62_Enabled">
    <vt:lpwstr>true</vt:lpwstr>
  </property>
  <property fmtid="{D5CDD505-2E9C-101B-9397-08002B2CF9AE}" pid="6" name="MSIP_Label_44b50724-87c1-4b02-94c8-e7d88c4f4b62_SetDate">
    <vt:lpwstr>2026-04-14T10:14:04Z</vt:lpwstr>
  </property>
  <property fmtid="{D5CDD505-2E9C-101B-9397-08002B2CF9AE}" pid="7" name="MSIP_Label_44b50724-87c1-4b02-94c8-e7d88c4f4b62_Method">
    <vt:lpwstr>Standard</vt:lpwstr>
  </property>
  <property fmtid="{D5CDD505-2E9C-101B-9397-08002B2CF9AE}" pid="8" name="MSIP_Label_44b50724-87c1-4b02-94c8-e7d88c4f4b62_Name">
    <vt:lpwstr>Confidential</vt:lpwstr>
  </property>
  <property fmtid="{D5CDD505-2E9C-101B-9397-08002B2CF9AE}" pid="9" name="MSIP_Label_44b50724-87c1-4b02-94c8-e7d88c4f4b62_SiteId">
    <vt:lpwstr>0cefd05a-5b38-4ce7-96bb-c31e6e251d18</vt:lpwstr>
  </property>
  <property fmtid="{D5CDD505-2E9C-101B-9397-08002B2CF9AE}" pid="10" name="MSIP_Label_44b50724-87c1-4b02-94c8-e7d88c4f4b62_ActionId">
    <vt:lpwstr>17c48f42-af09-4121-b60b-298e44038ed4</vt:lpwstr>
  </property>
  <property fmtid="{D5CDD505-2E9C-101B-9397-08002B2CF9AE}" pid="11" name="MSIP_Label_44b50724-87c1-4b02-94c8-e7d88c4f4b62_ContentBits">
    <vt:lpwstr>2</vt:lpwstr>
  </property>
  <property fmtid="{D5CDD505-2E9C-101B-9397-08002B2CF9AE}" pid="12" name="MSIP_Label_44b50724-87c1-4b02-94c8-e7d88c4f4b62_Tag">
    <vt:lpwstr>10, 3, 0, 1</vt:lpwstr>
  </property>
</Properties>
</file>